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0ED796">
      <w:pPr>
        <w:spacing w:after="0" w:line="240" w:lineRule="auto"/>
        <w:rPr>
          <w:rFonts w:hint="eastAsia" w:ascii="宋体" w:eastAsia="宋体"/>
          <w:sz w:val="32"/>
          <w:szCs w:val="32"/>
        </w:rPr>
      </w:pPr>
    </w:p>
    <w:p w14:paraId="0071606D">
      <w:pPr>
        <w:spacing w:after="0" w:line="240" w:lineRule="auto"/>
        <w:rPr>
          <w:rFonts w:hint="eastAsia" w:ascii="宋体" w:eastAsia="宋体"/>
          <w:sz w:val="44"/>
          <w:szCs w:val="44"/>
        </w:rPr>
      </w:pPr>
    </w:p>
    <w:p w14:paraId="188CDB4A">
      <w:pPr>
        <w:spacing w:after="0" w:line="240" w:lineRule="auto"/>
        <w:rPr>
          <w:rFonts w:hint="eastAsia" w:ascii="宋体" w:eastAsia="宋体"/>
          <w:sz w:val="44"/>
          <w:szCs w:val="44"/>
        </w:rPr>
      </w:pPr>
    </w:p>
    <w:p w14:paraId="6EC5675E">
      <w:pPr>
        <w:spacing w:after="0" w:line="240" w:lineRule="auto"/>
        <w:rPr>
          <w:rFonts w:hint="eastAsia" w:ascii="宋体" w:eastAsia="宋体"/>
          <w:sz w:val="44"/>
          <w:szCs w:val="44"/>
        </w:rPr>
      </w:pPr>
    </w:p>
    <w:p w14:paraId="261B836A">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木垒哈萨克自治县民族歌舞团</w:t>
      </w:r>
    </w:p>
    <w:p w14:paraId="088D37ED">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2CA73E57">
      <w:pPr>
        <w:rPr>
          <w:rFonts w:hint="eastAsia"/>
          <w:lang w:eastAsia="zh-CN"/>
        </w:rPr>
      </w:pPr>
      <w:r>
        <w:rPr>
          <w:sz w:val="0"/>
          <w:szCs w:val="0"/>
          <w:lang w:eastAsia="zh-CN"/>
        </w:rPr>
        <w:br w:type="page"/>
      </w:r>
    </w:p>
    <w:p w14:paraId="270F4EC6">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114DBA21">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6DEA404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4EB1D2A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16EAC36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475740D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795FBD6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68F1892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1526B51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8FE281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954FA6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C1751E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5AD065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9DA380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73A5979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2B4D37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E21802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63F398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028EE19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3E700BE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6B859EC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0028D41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395D5F2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4E1945F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3A9E36A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62A36C4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327E925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3CC0578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39EA22D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6648762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4EA091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16B9D6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88287C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29EE35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248332A1">
      <w:pPr>
        <w:rPr>
          <w:rFonts w:hint="eastAsia"/>
          <w:lang w:eastAsia="zh-CN"/>
        </w:rPr>
      </w:pPr>
      <w:r>
        <w:rPr>
          <w:sz w:val="0"/>
          <w:szCs w:val="0"/>
          <w:lang w:eastAsia="zh-CN"/>
        </w:rPr>
        <w:br w:type="page"/>
      </w:r>
    </w:p>
    <w:p w14:paraId="583A17A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47AAC90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7DEFA79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民族歌舞团承担创作演出民族歌舞剧（节）目，发展民族文化艺术。承担创作表演舞台艺术作品；负责艺术研究与普及推广工作。负责民族民间艺术作品收集整理与保护工作。参与公共文化活动，培养优秀艺术人才工作。完成木垒哈萨克自治县文化体育广播电视和旅游局交办的其他任务。</w:t>
      </w:r>
    </w:p>
    <w:p w14:paraId="6DFD9B6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353FC45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木垒哈萨克自治县民族歌舞团2024年度，实有人数27人，其中：在职人员18人，增加1人；离休人员0人，较上年无变化；退休人员9人，较上年无变化</w:t>
      </w:r>
      <w:r>
        <w:rPr>
          <w:rFonts w:hint="eastAsia" w:ascii="仿宋_GB2312" w:eastAsia="仿宋_GB2312"/>
          <w:sz w:val="32"/>
          <w:szCs w:val="32"/>
          <w:lang w:eastAsia="zh-CN"/>
        </w:rPr>
        <w:t>。</w:t>
      </w:r>
    </w:p>
    <w:p w14:paraId="6A5B21A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木垒哈萨克自治县民族歌舞团无下属预算单位，下设2个科室，分别是：办公室</w:t>
      </w:r>
      <w:r>
        <w:rPr>
          <w:rFonts w:hint="eastAsia" w:ascii="仿宋_GB2312" w:eastAsia="仿宋_GB2312"/>
          <w:sz w:val="32"/>
          <w:szCs w:val="32"/>
          <w:lang w:eastAsia="zh-CN"/>
        </w:rPr>
        <w:t>、</w:t>
      </w:r>
      <w:r>
        <w:rPr>
          <w:rFonts w:ascii="仿宋_GB2312" w:eastAsia="仿宋_GB2312"/>
          <w:sz w:val="32"/>
          <w:szCs w:val="32"/>
          <w:lang w:eastAsia="zh-CN"/>
        </w:rPr>
        <w:t>业务室。</w:t>
      </w:r>
    </w:p>
    <w:p w14:paraId="4527EA46">
      <w:pPr>
        <w:rPr>
          <w:rFonts w:hint="eastAsia"/>
          <w:lang w:eastAsia="zh-CN"/>
        </w:rPr>
      </w:pPr>
      <w:r>
        <w:rPr>
          <w:sz w:val="0"/>
          <w:szCs w:val="0"/>
          <w:lang w:eastAsia="zh-CN"/>
        </w:rPr>
        <w:br w:type="page"/>
      </w:r>
    </w:p>
    <w:p w14:paraId="2753660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457D27C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6D6AE67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2024年度收入总计400.55万元，其中：本年收入合计400.55万元，使用非财政拨款结余（含专用结余）0.00万元，年初结转和结余0.00万元。</w:t>
      </w:r>
    </w:p>
    <w:p w14:paraId="3918246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2024年度支出总计400.55万元，其中：本年支出合计400.55万元，结余分配0.00万元，年末结转和结余0.00万元。</w:t>
      </w:r>
    </w:p>
    <w:p w14:paraId="6E39F7E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收入支出总体与上年相比，增加41.94万元，增长11.70%，主要原因是：</w:t>
      </w:r>
      <w:r>
        <w:rPr>
          <w:rFonts w:hint="eastAsia" w:ascii="仿宋_GB2312" w:eastAsia="仿宋_GB2312"/>
          <w:sz w:val="32"/>
          <w:szCs w:val="32"/>
          <w:lang w:eastAsia="zh-CN"/>
        </w:rPr>
        <w:t>在职人员薪资调增，人员工资、津补贴等人员经费较上年增加</w:t>
      </w:r>
      <w:r>
        <w:rPr>
          <w:rFonts w:ascii="仿宋_GB2312" w:eastAsia="仿宋_GB2312"/>
          <w:sz w:val="32"/>
          <w:szCs w:val="32"/>
          <w:lang w:eastAsia="zh-CN"/>
        </w:rPr>
        <w:t>。</w:t>
      </w:r>
    </w:p>
    <w:p w14:paraId="40E873B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30AC3E2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本年收入400.55万元，其中：财政拨款收入400.54万元,占100.00%；上级补助收入0.00万元,占0.00%；事业收入0.00万元，占0.00%；经营收入0.00万元,占0.00%；附属单位上缴收入0.00万元，占0.00%；其他收入0.01万元，占0.00%。</w:t>
      </w:r>
    </w:p>
    <w:p w14:paraId="5ADA002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78443CF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本年支出400.55万元，其中：基本支出396.55万元，占99.00%；项目支出4.00万元，占1.00%；上缴上级支出0.00万元，占0.00%；经营支出0.00万元，占0.00%；对附属单位补助支出0.00万元，占0.00%。</w:t>
      </w:r>
    </w:p>
    <w:p w14:paraId="6CE3D26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7B0BB13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2024年度财政拨款收入总计400.54万元，其中：年初财政拨款结转和结余0.00万元，本年财政拨款收入400.54万元。财政拨款支出总计400.54万元，其中：年末财政拨款结转和结余0.00万元，本年财政拨款支出400.54万元。</w:t>
      </w:r>
    </w:p>
    <w:p w14:paraId="0A9AE8F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财政拨款收入支出总体与上年相比，增加41.93万元，增长11.69%，主要原因是：</w:t>
      </w:r>
      <w:r>
        <w:rPr>
          <w:rFonts w:hint="eastAsia" w:ascii="仿宋_GB2312" w:eastAsia="仿宋_GB2312"/>
          <w:sz w:val="32"/>
          <w:szCs w:val="32"/>
          <w:lang w:eastAsia="zh-CN"/>
        </w:rPr>
        <w:t>在职人员薪资调增，人员工资、津补贴等人员经费较上年增加</w:t>
      </w:r>
      <w:r>
        <w:rPr>
          <w:rFonts w:ascii="仿宋_GB2312" w:eastAsia="仿宋_GB2312"/>
          <w:sz w:val="32"/>
          <w:szCs w:val="32"/>
          <w:lang w:eastAsia="zh-CN"/>
        </w:rPr>
        <w:t>。与年初预算相比，年初预算数394.72万元，决算数400.54万元，预决算差异率1.47%，主要原因是：</w:t>
      </w:r>
      <w:r>
        <w:rPr>
          <w:rFonts w:hint="eastAsia" w:ascii="仿宋_GB2312" w:eastAsia="仿宋_GB2312"/>
          <w:sz w:val="32"/>
          <w:szCs w:val="32"/>
          <w:lang w:eastAsia="zh-CN"/>
        </w:rPr>
        <w:t>在职人员薪资调增，年中追加人员工资、津补贴等人员经费</w:t>
      </w:r>
      <w:r>
        <w:rPr>
          <w:rFonts w:ascii="仿宋_GB2312" w:eastAsia="仿宋_GB2312"/>
          <w:sz w:val="32"/>
          <w:szCs w:val="32"/>
          <w:lang w:eastAsia="zh-CN"/>
        </w:rPr>
        <w:t>。</w:t>
      </w:r>
    </w:p>
    <w:p w14:paraId="73E939E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555F46C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432A536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2024年度一般公共预算财政拨款支出400.54万元，占本年支出合计的100.00%。与上年相比，增加41.93万元，增长11.69%，主要原因是：</w:t>
      </w:r>
      <w:r>
        <w:rPr>
          <w:rFonts w:hint="eastAsia" w:ascii="仿宋_GB2312" w:eastAsia="仿宋_GB2312"/>
          <w:sz w:val="32"/>
          <w:szCs w:val="32"/>
          <w:lang w:eastAsia="zh-CN"/>
        </w:rPr>
        <w:t>在职人员薪资调增，人员工资、津补贴等人员经费较上年增加</w:t>
      </w:r>
      <w:r>
        <w:rPr>
          <w:rFonts w:ascii="仿宋_GB2312" w:eastAsia="仿宋_GB2312"/>
          <w:sz w:val="32"/>
          <w:szCs w:val="32"/>
          <w:lang w:eastAsia="zh-CN"/>
        </w:rPr>
        <w:t>。与年初预算相比，年初预算数394.72万元，决算数400.54万元，预决算差异率1.47%，主要原因是：</w:t>
      </w:r>
      <w:r>
        <w:rPr>
          <w:rFonts w:hint="eastAsia" w:ascii="仿宋_GB2312" w:eastAsia="仿宋_GB2312"/>
          <w:sz w:val="32"/>
          <w:szCs w:val="32"/>
          <w:lang w:eastAsia="zh-CN"/>
        </w:rPr>
        <w:t>在职人员薪资调增，年中追加人员工资、津补贴等人员经费</w:t>
      </w:r>
      <w:r>
        <w:rPr>
          <w:rFonts w:ascii="仿宋_GB2312" w:eastAsia="仿宋_GB2312"/>
          <w:sz w:val="32"/>
          <w:szCs w:val="32"/>
          <w:lang w:eastAsia="zh-CN"/>
        </w:rPr>
        <w:t>。</w:t>
      </w:r>
    </w:p>
    <w:p w14:paraId="49CF32F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2CE4358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文化旅游体育与传媒支出（类）392.91万元，占98.10%。</w:t>
      </w:r>
    </w:p>
    <w:p w14:paraId="49E6748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社会保障和就业支出（类）7.63万元，占1.90%。</w:t>
      </w:r>
    </w:p>
    <w:p w14:paraId="29113BE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1533029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1、文化旅游体育与传媒支出（类）文化和旅游（款）艺术表演团体（项）：支出决算数为388.91万元，比上年决算增加40.90万元，增长11.75%，主要原因是：</w:t>
      </w:r>
      <w:bookmarkStart w:id="0" w:name="_Hlk209001061"/>
      <w:bookmarkStart w:id="1" w:name="_Hlk209016193"/>
      <w:r>
        <w:rPr>
          <w:rFonts w:hint="eastAsia" w:ascii="仿宋_GB2312" w:eastAsia="仿宋_GB2312"/>
          <w:sz w:val="32"/>
          <w:szCs w:val="32"/>
          <w:lang w:eastAsia="zh-CN"/>
        </w:rPr>
        <w:t>在职人员薪资调增，</w:t>
      </w:r>
      <w:bookmarkStart w:id="2" w:name="_Hlk209026749"/>
      <w:bookmarkStart w:id="3" w:name="_Hlk209002448"/>
      <w:r>
        <w:rPr>
          <w:rFonts w:hint="eastAsia" w:ascii="仿宋_GB2312" w:eastAsia="仿宋_GB2312"/>
          <w:sz w:val="32"/>
          <w:szCs w:val="32"/>
          <w:lang w:eastAsia="zh-CN"/>
        </w:rPr>
        <w:t>人员</w:t>
      </w:r>
      <w:bookmarkStart w:id="4" w:name="_Hlk209001149"/>
      <w:bookmarkStart w:id="5" w:name="_Hlk209007270"/>
      <w:r>
        <w:rPr>
          <w:rFonts w:hint="eastAsia" w:ascii="仿宋_GB2312" w:eastAsia="仿宋_GB2312"/>
          <w:sz w:val="32"/>
          <w:szCs w:val="32"/>
          <w:lang w:eastAsia="zh-CN"/>
        </w:rPr>
        <w:t>工资、津补贴等人员经费</w:t>
      </w:r>
      <w:bookmarkEnd w:id="0"/>
      <w:bookmarkEnd w:id="2"/>
      <w:r>
        <w:rPr>
          <w:rFonts w:hint="eastAsia" w:ascii="仿宋_GB2312" w:eastAsia="仿宋_GB2312"/>
          <w:sz w:val="32"/>
          <w:szCs w:val="32"/>
          <w:lang w:eastAsia="zh-CN"/>
        </w:rPr>
        <w:t>较上年</w:t>
      </w:r>
      <w:bookmarkEnd w:id="4"/>
      <w:r>
        <w:rPr>
          <w:rFonts w:hint="eastAsia" w:ascii="仿宋_GB2312" w:eastAsia="仿宋_GB2312"/>
          <w:sz w:val="32"/>
          <w:szCs w:val="32"/>
          <w:lang w:eastAsia="zh-CN"/>
        </w:rPr>
        <w:t>增加</w:t>
      </w:r>
      <w:bookmarkEnd w:id="1"/>
      <w:bookmarkEnd w:id="3"/>
      <w:bookmarkEnd w:id="5"/>
      <w:r>
        <w:rPr>
          <w:rFonts w:hint="eastAsia" w:ascii="仿宋_GB2312" w:eastAsia="仿宋_GB2312"/>
          <w:sz w:val="32"/>
          <w:szCs w:val="32"/>
          <w:lang w:eastAsia="zh-CN"/>
        </w:rPr>
        <w:t>；单位科目调整，将单位</w:t>
      </w:r>
      <w:r>
        <w:rPr>
          <w:rFonts w:ascii="仿宋_GB2312" w:eastAsia="仿宋_GB2312"/>
          <w:sz w:val="32"/>
          <w:szCs w:val="32"/>
          <w:lang w:eastAsia="zh-CN"/>
        </w:rPr>
        <w:t>职业年金缴费</w:t>
      </w:r>
      <w:r>
        <w:rPr>
          <w:rFonts w:hint="eastAsia" w:ascii="仿宋_GB2312" w:eastAsia="仿宋_GB2312"/>
          <w:sz w:val="32"/>
          <w:szCs w:val="32"/>
          <w:lang w:eastAsia="zh-CN"/>
        </w:rPr>
        <w:t>、退休人员退休费等人员经费调整至本科目反映</w:t>
      </w:r>
      <w:r>
        <w:rPr>
          <w:rFonts w:ascii="仿宋_GB2312" w:eastAsia="仿宋_GB2312"/>
          <w:sz w:val="32"/>
          <w:szCs w:val="32"/>
          <w:lang w:eastAsia="zh-CN"/>
        </w:rPr>
        <w:t>。</w:t>
      </w:r>
    </w:p>
    <w:p w14:paraId="60F79BF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2、文化旅游体育与传媒支出（类）文化和旅游（款）其他文化和旅游支出（项）：支出决算数为4.00万元，比上年决算增加4.00万元，增长100.00%，主要原因是：</w:t>
      </w:r>
      <w:r>
        <w:rPr>
          <w:rFonts w:hint="eastAsia" w:ascii="仿宋_GB2312" w:eastAsia="仿宋_GB2312"/>
          <w:sz w:val="32"/>
          <w:szCs w:val="32"/>
          <w:lang w:eastAsia="zh-CN"/>
        </w:rPr>
        <w:t>本年增加</w:t>
      </w:r>
      <w:r>
        <w:rPr>
          <w:rFonts w:ascii="仿宋_GB2312" w:eastAsia="仿宋_GB2312"/>
          <w:sz w:val="32"/>
          <w:szCs w:val="32"/>
          <w:lang w:eastAsia="zh-CN"/>
        </w:rPr>
        <w:t>文化人才专项项目</w:t>
      </w:r>
      <w:r>
        <w:rPr>
          <w:rFonts w:hint="eastAsia" w:ascii="仿宋_GB2312" w:eastAsia="仿宋_GB2312"/>
          <w:sz w:val="32"/>
          <w:szCs w:val="32"/>
          <w:lang w:eastAsia="zh-CN"/>
        </w:rPr>
        <w:t>资金</w:t>
      </w:r>
      <w:r>
        <w:rPr>
          <w:rFonts w:ascii="仿宋_GB2312" w:eastAsia="仿宋_GB2312"/>
          <w:sz w:val="32"/>
          <w:szCs w:val="32"/>
          <w:lang w:eastAsia="zh-CN"/>
        </w:rPr>
        <w:t>。</w:t>
      </w:r>
    </w:p>
    <w:p w14:paraId="1626702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3、社会保障和就业支出（类）行政事业单位养老支出（款）事业单位离退休（项）：支出决算数为0.00万元，比上年决算减少3.00万元，下降100.00%，主要原因是：</w:t>
      </w:r>
      <w:r>
        <w:rPr>
          <w:rFonts w:hint="eastAsia" w:ascii="仿宋_GB2312" w:eastAsia="仿宋_GB2312"/>
          <w:sz w:val="32"/>
          <w:szCs w:val="32"/>
          <w:lang w:eastAsia="zh-CN"/>
        </w:rPr>
        <w:t>单位科目调整，本年将退休人员退休费调整至</w:t>
      </w:r>
      <w:r>
        <w:rPr>
          <w:rFonts w:ascii="仿宋_GB2312" w:eastAsia="仿宋_GB2312"/>
          <w:sz w:val="32"/>
          <w:szCs w:val="32"/>
          <w:lang w:eastAsia="zh-CN"/>
        </w:rPr>
        <w:t>艺术表演团体</w:t>
      </w:r>
      <w:r>
        <w:rPr>
          <w:rFonts w:hint="eastAsia" w:ascii="仿宋_GB2312" w:eastAsia="仿宋_GB2312"/>
          <w:sz w:val="32"/>
          <w:szCs w:val="32"/>
          <w:lang w:eastAsia="zh-CN"/>
        </w:rPr>
        <w:t>科目反映</w:t>
      </w:r>
      <w:r>
        <w:rPr>
          <w:rFonts w:ascii="仿宋_GB2312" w:eastAsia="仿宋_GB2312"/>
          <w:sz w:val="32"/>
          <w:szCs w:val="32"/>
          <w:lang w:eastAsia="zh-CN"/>
        </w:rPr>
        <w:t>。</w:t>
      </w:r>
    </w:p>
    <w:p w14:paraId="5BA853F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4、社会保障和就业支出（类）行政事业单位养老支出（款）机关事业单位职业年金缴费支出（项）：支出决算数为0.00万元，比上年决算减少6.45万元，下降100.00%，主要原因是：</w:t>
      </w:r>
      <w:r>
        <w:rPr>
          <w:rFonts w:hint="eastAsia" w:ascii="仿宋_GB2312" w:eastAsia="仿宋_GB2312"/>
          <w:sz w:val="32"/>
          <w:szCs w:val="32"/>
          <w:lang w:eastAsia="zh-CN"/>
        </w:rPr>
        <w:t>单位科目调整，本年将单位</w:t>
      </w:r>
      <w:r>
        <w:rPr>
          <w:rFonts w:ascii="仿宋_GB2312" w:eastAsia="仿宋_GB2312"/>
          <w:sz w:val="32"/>
          <w:szCs w:val="32"/>
          <w:lang w:eastAsia="zh-CN"/>
        </w:rPr>
        <w:t>职业年金缴费</w:t>
      </w:r>
      <w:r>
        <w:rPr>
          <w:rFonts w:hint="eastAsia" w:ascii="仿宋_GB2312" w:eastAsia="仿宋_GB2312"/>
          <w:sz w:val="32"/>
          <w:szCs w:val="32"/>
          <w:lang w:eastAsia="zh-CN"/>
        </w:rPr>
        <w:t>调整至</w:t>
      </w:r>
      <w:r>
        <w:rPr>
          <w:rFonts w:ascii="仿宋_GB2312" w:eastAsia="仿宋_GB2312"/>
          <w:sz w:val="32"/>
          <w:szCs w:val="32"/>
          <w:lang w:eastAsia="zh-CN"/>
        </w:rPr>
        <w:t>艺术表演团体</w:t>
      </w:r>
      <w:r>
        <w:rPr>
          <w:rFonts w:hint="eastAsia" w:ascii="仿宋_GB2312" w:eastAsia="仿宋_GB2312"/>
          <w:sz w:val="32"/>
          <w:szCs w:val="32"/>
          <w:lang w:eastAsia="zh-CN"/>
        </w:rPr>
        <w:t>科目反映</w:t>
      </w:r>
      <w:r>
        <w:rPr>
          <w:rFonts w:ascii="仿宋_GB2312" w:eastAsia="仿宋_GB2312"/>
          <w:sz w:val="32"/>
          <w:szCs w:val="32"/>
          <w:lang w:eastAsia="zh-CN"/>
        </w:rPr>
        <w:t>。</w:t>
      </w:r>
    </w:p>
    <w:p w14:paraId="63AA0A7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5、社会保障和就业支出（类）抚恤（款）死亡抚恤（项）：支出决算数为7.63万元，比上年决算增加6.48万元，增长563.48%，主要原因是：</w:t>
      </w:r>
      <w:r>
        <w:rPr>
          <w:rFonts w:hint="eastAsia" w:ascii="仿宋_GB2312" w:eastAsia="仿宋_GB2312"/>
          <w:sz w:val="32"/>
          <w:szCs w:val="32"/>
          <w:lang w:eastAsia="zh-CN"/>
        </w:rPr>
        <w:t>本年比上年增加一名退休去世人员，相应增加死亡抚恤资金</w:t>
      </w:r>
      <w:r>
        <w:rPr>
          <w:rFonts w:ascii="仿宋_GB2312" w:eastAsia="仿宋_GB2312"/>
          <w:sz w:val="32"/>
          <w:szCs w:val="32"/>
          <w:lang w:eastAsia="zh-CN"/>
        </w:rPr>
        <w:t>。</w:t>
      </w:r>
    </w:p>
    <w:p w14:paraId="0D613C7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665A9AD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396.54万元，其中：人员经费385.05万元，包括：基本工资、津贴补贴、奖金、机关事业单位基本养老保险缴费、职工基本医疗保险缴费、其他社会保障缴费、住房公积金、其他工资福利支出、退休费、抚恤金、生活补助和奖励金。</w:t>
      </w:r>
    </w:p>
    <w:p w14:paraId="3CF4227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公用经费11.49万元，包括：办公费、邮电费、维修（护）费、租赁费、劳务费、工会经费和其他商品和服务支出。</w:t>
      </w:r>
    </w:p>
    <w:p w14:paraId="7CDB3E0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01E80DC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E6566C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5324D82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7863F2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0432220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6" w:name="_Hlk207143847"/>
      <w:r>
        <w:rPr>
          <w:rFonts w:hint="eastAsia" w:ascii="仿宋_GB2312" w:eastAsia="仿宋_GB2312"/>
          <w:sz w:val="32"/>
          <w:szCs w:val="32"/>
          <w:lang w:eastAsia="zh-CN"/>
        </w:rPr>
        <w:t>我</w:t>
      </w:r>
      <w:bookmarkStart w:id="7" w:name="_Hlk209026967"/>
      <w:r>
        <w:rPr>
          <w:rFonts w:hint="eastAsia" w:ascii="仿宋_GB2312" w:eastAsia="仿宋_GB2312"/>
          <w:sz w:val="32"/>
          <w:szCs w:val="32"/>
          <w:lang w:eastAsia="zh-CN"/>
        </w:rPr>
        <w:t>单位上年度与本年度均无此项经费</w:t>
      </w:r>
      <w:bookmarkEnd w:id="6"/>
      <w:bookmarkEnd w:id="7"/>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12500C0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23E97BA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8"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8"/>
      <w:r>
        <w:rPr>
          <w:rFonts w:ascii="仿宋_GB2312" w:eastAsia="仿宋_GB2312"/>
          <w:sz w:val="32"/>
          <w:szCs w:val="32"/>
          <w:lang w:eastAsia="zh-CN"/>
        </w:rPr>
        <w:t>。单位全年安排的因公出国（境）团组0个，因公出国（境）0人次。</w:t>
      </w:r>
    </w:p>
    <w:p w14:paraId="4F3A523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val="en-US" w:eastAsia="zh-CN"/>
        </w:rPr>
        <w:t>单位本年无</w:t>
      </w:r>
      <w:r>
        <w:rPr>
          <w:rFonts w:ascii="仿宋_GB2312" w:eastAsia="仿宋_GB2312"/>
          <w:sz w:val="32"/>
          <w:szCs w:val="32"/>
          <w:lang w:eastAsia="zh-CN"/>
        </w:rPr>
        <w:t>公务用车运行维护费</w:t>
      </w:r>
      <w:bookmarkStart w:id="15" w:name="_GoBack"/>
      <w:bookmarkEnd w:id="15"/>
      <w:r>
        <w:rPr>
          <w:rFonts w:ascii="仿宋_GB2312" w:eastAsia="仿宋_GB2312"/>
          <w:sz w:val="32"/>
          <w:szCs w:val="32"/>
          <w:lang w:eastAsia="zh-CN"/>
        </w:rPr>
        <w:t>。公务用车购置数0辆，公务用车保有量0辆。国有资产占用情况中固定资产车辆0辆，与公务用车保有量差异原因是：</w:t>
      </w:r>
      <w:bookmarkStart w:id="9" w:name="_Hlk207143898"/>
      <w:r>
        <w:rPr>
          <w:rFonts w:hint="eastAsia" w:ascii="仿宋_GB2312" w:eastAsia="仿宋_GB2312"/>
          <w:sz w:val="32"/>
          <w:szCs w:val="32"/>
          <w:lang w:eastAsia="zh-CN"/>
        </w:rPr>
        <w:t>本单位固定资产车辆与公务用车保有量一致无差异</w:t>
      </w:r>
      <w:bookmarkEnd w:id="9"/>
      <w:r>
        <w:rPr>
          <w:rFonts w:ascii="仿宋_GB2312" w:eastAsia="仿宋_GB2312"/>
          <w:sz w:val="32"/>
          <w:szCs w:val="32"/>
          <w:lang w:eastAsia="zh-CN"/>
        </w:rPr>
        <w:t>。</w:t>
      </w:r>
    </w:p>
    <w:p w14:paraId="0B720FC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10" w:name="_Hlk207140433"/>
      <w:r>
        <w:rPr>
          <w:rFonts w:hint="eastAsia" w:ascii="仿宋_GB2312" w:eastAsia="仿宋_GB2312"/>
          <w:sz w:val="32"/>
          <w:szCs w:val="32"/>
          <w:lang w:eastAsia="zh-CN"/>
        </w:rPr>
        <w:t>单</w:t>
      </w:r>
      <w:bookmarkStart w:id="11"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10"/>
      <w:bookmarkEnd w:id="11"/>
      <w:r>
        <w:rPr>
          <w:rFonts w:ascii="仿宋_GB2312" w:eastAsia="仿宋_GB2312"/>
          <w:sz w:val="32"/>
          <w:szCs w:val="32"/>
          <w:lang w:eastAsia="zh-CN"/>
        </w:rPr>
        <w:t>。单位全年安排的国内公务接待0批次，0人次。</w:t>
      </w:r>
    </w:p>
    <w:p w14:paraId="31D43DC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12" w:name="_Hlk207142995"/>
      <w:r>
        <w:rPr>
          <w:rFonts w:hint="eastAsia" w:ascii="仿宋_GB2312" w:eastAsia="仿宋_GB2312"/>
          <w:sz w:val="32"/>
          <w:szCs w:val="32"/>
          <w:lang w:eastAsia="zh-CN"/>
        </w:rPr>
        <w:t>严格按照预算执行，预决算对比无差异</w:t>
      </w:r>
      <w:bookmarkEnd w:id="12"/>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3652D82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233A45D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0D968A3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2024年度木垒哈萨克自治县民族歌舞团单位（事业单位）公用经费支出11.49万元，比上年增加3.72万元，增长47.88%，主要原因是：</w:t>
      </w:r>
      <w:r>
        <w:rPr>
          <w:rFonts w:hint="eastAsia" w:ascii="仿宋_GB2312" w:eastAsia="仿宋_GB2312"/>
          <w:sz w:val="32"/>
          <w:szCs w:val="32"/>
          <w:lang w:eastAsia="zh-CN"/>
        </w:rPr>
        <w:t>本年单位</w:t>
      </w:r>
      <w:r>
        <w:rPr>
          <w:rFonts w:ascii="仿宋_GB2312" w:eastAsia="仿宋_GB2312"/>
          <w:sz w:val="32"/>
          <w:szCs w:val="32"/>
          <w:lang w:eastAsia="zh-CN"/>
        </w:rPr>
        <w:t>办公费、邮电费、维修（护）费</w:t>
      </w:r>
      <w:r>
        <w:rPr>
          <w:rFonts w:hint="eastAsia" w:ascii="仿宋_GB2312" w:eastAsia="仿宋_GB2312"/>
          <w:sz w:val="32"/>
          <w:szCs w:val="32"/>
          <w:lang w:eastAsia="zh-CN"/>
        </w:rPr>
        <w:t>、</w:t>
      </w:r>
      <w:r>
        <w:rPr>
          <w:rFonts w:ascii="仿宋_GB2312" w:eastAsia="仿宋_GB2312"/>
          <w:sz w:val="32"/>
          <w:szCs w:val="32"/>
          <w:lang w:eastAsia="zh-CN"/>
        </w:rPr>
        <w:t>工会经费</w:t>
      </w:r>
      <w:r>
        <w:rPr>
          <w:rFonts w:hint="eastAsia" w:ascii="仿宋_GB2312" w:eastAsia="仿宋_GB2312"/>
          <w:sz w:val="32"/>
          <w:szCs w:val="32"/>
          <w:lang w:eastAsia="zh-CN"/>
        </w:rPr>
        <w:t>等较上年增加</w:t>
      </w:r>
      <w:r>
        <w:rPr>
          <w:rFonts w:ascii="仿宋_GB2312" w:eastAsia="仿宋_GB2312"/>
          <w:sz w:val="32"/>
          <w:szCs w:val="32"/>
          <w:lang w:eastAsia="zh-CN"/>
        </w:rPr>
        <w:t>。</w:t>
      </w:r>
    </w:p>
    <w:p w14:paraId="63407D5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3C16A43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2024年度政府采购支出总额3.51万元，其中：政府采购货物支出3.51万元、政府采购工程支出0.00万元、政府采购服务支出0.00万元。</w:t>
      </w:r>
    </w:p>
    <w:p w14:paraId="4BA6B1B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授予中小企业合同金额3.51万元，占政府采购支出总额的100.00%，其中：授予小微企业合同金额3.51万元，占政府采购支出总额的100.00%。</w:t>
      </w:r>
    </w:p>
    <w:p w14:paraId="54FD7EB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1BF42C1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单位无</w:t>
      </w:r>
      <w:r>
        <w:rPr>
          <w:rFonts w:ascii="仿宋_GB2312" w:eastAsia="仿宋_GB2312"/>
          <w:sz w:val="32"/>
          <w:szCs w:val="32"/>
          <w:lang w:eastAsia="zh-CN"/>
        </w:rPr>
        <w:t>其他用车;单价100万元（含）以上设备（不含车辆）0台（套）。</w:t>
      </w:r>
    </w:p>
    <w:p w14:paraId="014D66B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116A894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400.55万元，实际执行总额400.55万元；预算绩效评价项目1个，全年预算数4.00万元，全年执行数4.00万元。预算绩效管理取得的成效：</w:t>
      </w:r>
      <w:r>
        <w:rPr>
          <w:rFonts w:hint="eastAsia" w:ascii="仿宋_GB2312" w:eastAsia="仿宋_GB2312"/>
          <w:sz w:val="32"/>
          <w:szCs w:val="32"/>
          <w:lang w:eastAsia="zh-CN"/>
        </w:rPr>
        <w:t>一是</w:t>
      </w:r>
      <w:r>
        <w:rPr>
          <w:rFonts w:ascii="仿宋_GB2312" w:eastAsia="仿宋_GB2312"/>
          <w:sz w:val="32"/>
          <w:szCs w:val="32"/>
          <w:lang w:eastAsia="zh-CN"/>
        </w:rPr>
        <w:t>通过加强预算收支管理，不断建立健全内部管理制度，梳理内部管理流程，部门整体支出管理情况得到提升。</w:t>
      </w:r>
      <w:r>
        <w:rPr>
          <w:rFonts w:hint="eastAsia" w:ascii="仿宋_GB2312" w:eastAsia="仿宋_GB2312"/>
          <w:sz w:val="32"/>
          <w:szCs w:val="32"/>
          <w:lang w:eastAsia="zh-CN"/>
        </w:rPr>
        <w:t>二是</w:t>
      </w:r>
      <w:r>
        <w:rPr>
          <w:rFonts w:ascii="仿宋_GB2312" w:eastAsia="仿宋_GB2312"/>
          <w:sz w:val="32"/>
          <w:szCs w:val="32"/>
          <w:lang w:eastAsia="zh-CN"/>
        </w:rPr>
        <w:t>2024年度我单位努力做好财政预算收入、支出以及各项目的管理工作，并在执行过程中积极对执行情况进行监控，对预算的资金进行全方位的监督和管理，使每一笔资金都能起到最大的使用效益。发现的问题及原因：一是我单位部分绩效指标设置存在不够精简、指标数据无法统计和指标值设置过低等问题，部分项目绩效指标值设定为定性的指标，指标设置的科学性、合理性有待进一步提高</w:t>
      </w:r>
      <w:r>
        <w:rPr>
          <w:rFonts w:hint="eastAsia" w:ascii="仿宋_GB2312" w:eastAsia="仿宋_GB2312"/>
          <w:sz w:val="32"/>
          <w:szCs w:val="32"/>
          <w:lang w:eastAsia="zh-CN"/>
        </w:rPr>
        <w:t>。</w:t>
      </w:r>
      <w:r>
        <w:rPr>
          <w:rFonts w:ascii="仿宋_GB2312" w:eastAsia="仿宋_GB2312"/>
          <w:sz w:val="32"/>
          <w:szCs w:val="32"/>
          <w:lang w:eastAsia="zh-CN"/>
        </w:rPr>
        <w:t>二是项目实施过程中的上报、跟踪、反馈机制尚未真正形成，对各地区项目资金的使用、实施等监管措施仍然存在改进的空间。下一步改进措施：</w:t>
      </w:r>
      <w:r>
        <w:rPr>
          <w:rFonts w:hint="eastAsia" w:ascii="仿宋_GB2312" w:eastAsia="仿宋_GB2312"/>
          <w:sz w:val="32"/>
          <w:szCs w:val="32"/>
          <w:lang w:eastAsia="zh-CN"/>
        </w:rPr>
        <w:t>一是</w:t>
      </w:r>
      <w:r>
        <w:rPr>
          <w:rFonts w:ascii="仿宋_GB2312" w:eastAsia="仿宋_GB2312"/>
          <w:sz w:val="32"/>
          <w:szCs w:val="32"/>
          <w:lang w:eastAsia="zh-CN"/>
        </w:rPr>
        <w:t>设立创作专项资金，支持演员和编导进行节目创新创作。每年设定一定数量的创作任务，要求创作团队围绕哈萨克族文化和现代社会生活，创作出具有创新性的舞蹈、音乐作品。</w:t>
      </w:r>
      <w:r>
        <w:rPr>
          <w:rFonts w:hint="eastAsia" w:ascii="仿宋_GB2312" w:eastAsia="仿宋_GB2312"/>
          <w:sz w:val="32"/>
          <w:szCs w:val="32"/>
          <w:lang w:eastAsia="zh-CN"/>
        </w:rPr>
        <w:t>二是</w:t>
      </w:r>
      <w:r>
        <w:rPr>
          <w:rFonts w:ascii="仿宋_GB2312" w:eastAsia="仿宋_GB2312"/>
          <w:sz w:val="32"/>
          <w:szCs w:val="32"/>
          <w:lang w:eastAsia="zh-CN"/>
        </w:rPr>
        <w:t>大力强化宣传，加强政策学习，提高思想认识，提高绩效监控认同感，首先要从部门实际入手，进行深刻剖析，分析实施绩效监控的重要性和意义，激发部门单位对实施绩效监控的积极性。</w:t>
      </w:r>
      <w:r>
        <w:rPr>
          <w:rFonts w:hint="eastAsia" w:ascii="仿宋_GB2312" w:eastAsia="仿宋_GB2312"/>
          <w:sz w:val="32"/>
          <w:szCs w:val="32"/>
          <w:lang w:eastAsia="zh-CN"/>
        </w:rPr>
        <w:t>三是</w:t>
      </w:r>
      <w:r>
        <w:rPr>
          <w:rFonts w:ascii="仿宋_GB2312" w:eastAsia="仿宋_GB2312"/>
          <w:sz w:val="32"/>
          <w:szCs w:val="32"/>
          <w:lang w:eastAsia="zh-CN"/>
        </w:rPr>
        <w:t>着力推动绩效运行监控与部门内部控制管理相结合，发现问题及时纠正，确保绩效监控结果的客观性和准确性。具体附部门整体支出绩效自评表，项目支出绩效自评表和部门评价报告。</w:t>
      </w:r>
    </w:p>
    <w:p w14:paraId="3D9015AE">
      <w:pPr>
        <w:rPr>
          <w:rFonts w:hint="eastAsia" w:ascii="宋体" w:hAnsi="宋体" w:eastAsia="宋体" w:cs="宋体"/>
          <w:b/>
          <w:bCs/>
          <w:sz w:val="18"/>
          <w:szCs w:val="18"/>
        </w:rPr>
      </w:pPr>
      <w:bookmarkStart w:id="13" w:name="_Hlk201836110"/>
    </w:p>
    <w:p w14:paraId="5B9C7D7D">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1D8716F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7F2B40B6">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289443E">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70BED0B">
            <w:pPr>
              <w:jc w:val="center"/>
              <w:rPr>
                <w:rFonts w:hint="eastAsia" w:ascii="宋体" w:hAnsi="宋体" w:eastAsia="宋体" w:cs="宋体"/>
                <w:b/>
                <w:bCs/>
                <w:sz w:val="18"/>
                <w:szCs w:val="18"/>
              </w:rPr>
            </w:pPr>
            <w:r>
              <w:rPr>
                <w:rFonts w:hint="eastAsia" w:ascii="宋体" w:hAnsi="宋体" w:eastAsia="宋体" w:cs="宋体"/>
                <w:b/>
                <w:bCs/>
                <w:sz w:val="18"/>
                <w:szCs w:val="18"/>
              </w:rPr>
              <w:t>木垒县歌舞团本级</w:t>
            </w:r>
          </w:p>
        </w:tc>
        <w:tc>
          <w:tcPr>
            <w:tcW w:w="284" w:type="dxa"/>
            <w:tcBorders>
              <w:top w:val="nil"/>
              <w:left w:val="nil"/>
              <w:bottom w:val="nil"/>
              <w:right w:val="nil"/>
            </w:tcBorders>
            <w:noWrap/>
            <w:vAlign w:val="center"/>
          </w:tcPr>
          <w:p w14:paraId="2F9195C4">
            <w:pPr>
              <w:rPr>
                <w:rFonts w:hint="eastAsia" w:ascii="宋体" w:hAnsi="宋体" w:eastAsia="宋体" w:cs="宋体"/>
                <w:b/>
                <w:bCs/>
                <w:sz w:val="18"/>
                <w:szCs w:val="18"/>
              </w:rPr>
            </w:pPr>
          </w:p>
        </w:tc>
      </w:tr>
      <w:tr w14:paraId="410B5552">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95E9561">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7C958F77">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0ADB148">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7276E41B">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5619CE8D">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3715E30C">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5DB40572">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5E41C832">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1CAA0194">
            <w:pPr>
              <w:jc w:val="center"/>
              <w:rPr>
                <w:rFonts w:hint="eastAsia" w:ascii="宋体" w:hAnsi="宋体" w:eastAsia="宋体" w:cs="宋体"/>
                <w:b/>
                <w:bCs/>
                <w:sz w:val="18"/>
                <w:szCs w:val="18"/>
              </w:rPr>
            </w:pPr>
          </w:p>
        </w:tc>
      </w:tr>
      <w:tr w14:paraId="6A2F00B1">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AD4FA5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79597E2">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10F0615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70D30ED5">
            <w:pPr>
              <w:jc w:val="center"/>
              <w:rPr>
                <w:rFonts w:hint="eastAsia" w:ascii="宋体" w:hAnsi="宋体" w:eastAsia="宋体" w:cs="宋体"/>
                <w:sz w:val="18"/>
                <w:szCs w:val="18"/>
              </w:rPr>
            </w:pPr>
            <w:r>
              <w:rPr>
                <w:rFonts w:hint="eastAsia" w:ascii="宋体" w:hAnsi="宋体" w:eastAsia="宋体" w:cs="宋体"/>
                <w:sz w:val="18"/>
                <w:szCs w:val="18"/>
              </w:rPr>
              <w:t>4.00</w:t>
            </w:r>
          </w:p>
        </w:tc>
        <w:tc>
          <w:tcPr>
            <w:tcW w:w="1417" w:type="dxa"/>
            <w:tcBorders>
              <w:top w:val="nil"/>
              <w:left w:val="nil"/>
              <w:bottom w:val="single" w:color="auto" w:sz="4" w:space="0"/>
              <w:right w:val="single" w:color="auto" w:sz="4" w:space="0"/>
            </w:tcBorders>
            <w:vAlign w:val="center"/>
          </w:tcPr>
          <w:p w14:paraId="6BED057A">
            <w:pPr>
              <w:jc w:val="center"/>
              <w:rPr>
                <w:rFonts w:hint="eastAsia" w:ascii="宋体" w:hAnsi="宋体" w:eastAsia="宋体" w:cs="宋体"/>
                <w:sz w:val="18"/>
                <w:szCs w:val="18"/>
              </w:rPr>
            </w:pPr>
            <w:r>
              <w:rPr>
                <w:rFonts w:hint="eastAsia" w:ascii="宋体" w:hAnsi="宋体" w:eastAsia="宋体" w:cs="宋体"/>
                <w:sz w:val="18"/>
                <w:szCs w:val="18"/>
              </w:rPr>
              <w:t>4.00</w:t>
            </w:r>
          </w:p>
        </w:tc>
        <w:tc>
          <w:tcPr>
            <w:tcW w:w="1134" w:type="dxa"/>
            <w:tcBorders>
              <w:top w:val="nil"/>
              <w:left w:val="nil"/>
              <w:bottom w:val="single" w:color="auto" w:sz="4" w:space="0"/>
              <w:right w:val="single" w:color="auto" w:sz="4" w:space="0"/>
            </w:tcBorders>
            <w:vAlign w:val="center"/>
          </w:tcPr>
          <w:p w14:paraId="7EF7FC26">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0A912E20">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7EA33FE3">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57D6E57E">
            <w:pPr>
              <w:jc w:val="center"/>
              <w:rPr>
                <w:rFonts w:hint="eastAsia" w:ascii="宋体" w:hAnsi="宋体" w:eastAsia="宋体" w:cs="宋体"/>
                <w:b/>
                <w:bCs/>
                <w:sz w:val="18"/>
                <w:szCs w:val="18"/>
              </w:rPr>
            </w:pPr>
          </w:p>
        </w:tc>
      </w:tr>
      <w:tr w14:paraId="36748BE1">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83A720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53617D7">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673D7902">
            <w:pPr>
              <w:jc w:val="center"/>
              <w:rPr>
                <w:rFonts w:hint="eastAsia" w:ascii="宋体" w:hAnsi="宋体" w:eastAsia="宋体" w:cs="宋体"/>
                <w:sz w:val="18"/>
                <w:szCs w:val="18"/>
              </w:rPr>
            </w:pPr>
            <w:r>
              <w:rPr>
                <w:rFonts w:hint="eastAsia" w:ascii="宋体" w:hAnsi="宋体" w:eastAsia="宋体" w:cs="宋体"/>
                <w:sz w:val="18"/>
                <w:szCs w:val="18"/>
              </w:rPr>
              <w:t>394.72</w:t>
            </w:r>
          </w:p>
        </w:tc>
        <w:tc>
          <w:tcPr>
            <w:tcW w:w="1242" w:type="dxa"/>
            <w:tcBorders>
              <w:top w:val="nil"/>
              <w:left w:val="nil"/>
              <w:bottom w:val="single" w:color="auto" w:sz="4" w:space="0"/>
              <w:right w:val="single" w:color="auto" w:sz="4" w:space="0"/>
            </w:tcBorders>
            <w:vAlign w:val="center"/>
          </w:tcPr>
          <w:p w14:paraId="3C581CC4">
            <w:pPr>
              <w:jc w:val="center"/>
              <w:rPr>
                <w:rFonts w:hint="eastAsia" w:ascii="宋体" w:hAnsi="宋体" w:eastAsia="宋体" w:cs="宋体"/>
                <w:sz w:val="18"/>
                <w:szCs w:val="18"/>
              </w:rPr>
            </w:pPr>
            <w:r>
              <w:rPr>
                <w:rFonts w:hint="eastAsia" w:ascii="宋体" w:hAnsi="宋体" w:eastAsia="宋体" w:cs="宋体"/>
                <w:sz w:val="18"/>
                <w:szCs w:val="18"/>
              </w:rPr>
              <w:t>396.54</w:t>
            </w:r>
          </w:p>
        </w:tc>
        <w:tc>
          <w:tcPr>
            <w:tcW w:w="1417" w:type="dxa"/>
            <w:tcBorders>
              <w:top w:val="nil"/>
              <w:left w:val="nil"/>
              <w:bottom w:val="single" w:color="auto" w:sz="4" w:space="0"/>
              <w:right w:val="single" w:color="auto" w:sz="4" w:space="0"/>
            </w:tcBorders>
            <w:vAlign w:val="center"/>
          </w:tcPr>
          <w:p w14:paraId="1B545948">
            <w:pPr>
              <w:jc w:val="center"/>
              <w:rPr>
                <w:rFonts w:hint="eastAsia" w:ascii="宋体" w:hAnsi="宋体" w:eastAsia="宋体" w:cs="宋体"/>
                <w:sz w:val="18"/>
                <w:szCs w:val="18"/>
              </w:rPr>
            </w:pPr>
            <w:r>
              <w:rPr>
                <w:rFonts w:hint="eastAsia" w:ascii="宋体" w:hAnsi="宋体" w:eastAsia="宋体" w:cs="宋体"/>
                <w:sz w:val="18"/>
                <w:szCs w:val="18"/>
              </w:rPr>
              <w:t>396.54</w:t>
            </w:r>
          </w:p>
        </w:tc>
        <w:tc>
          <w:tcPr>
            <w:tcW w:w="1134" w:type="dxa"/>
            <w:tcBorders>
              <w:top w:val="nil"/>
              <w:left w:val="nil"/>
              <w:bottom w:val="single" w:color="auto" w:sz="4" w:space="0"/>
              <w:right w:val="single" w:color="auto" w:sz="4" w:space="0"/>
            </w:tcBorders>
            <w:vAlign w:val="center"/>
          </w:tcPr>
          <w:p w14:paraId="0DF1DCFA">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12B710AE">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4079CFC">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031E24C0">
            <w:pPr>
              <w:jc w:val="center"/>
              <w:rPr>
                <w:rFonts w:hint="eastAsia" w:ascii="宋体" w:hAnsi="宋体" w:eastAsia="宋体" w:cs="宋体"/>
                <w:sz w:val="18"/>
                <w:szCs w:val="18"/>
              </w:rPr>
            </w:pPr>
          </w:p>
        </w:tc>
      </w:tr>
      <w:tr w14:paraId="24A7BF19">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026FE1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2EDE662">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5BAC226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75AFC8D7">
            <w:pPr>
              <w:jc w:val="center"/>
              <w:rPr>
                <w:rFonts w:hint="eastAsia" w:ascii="宋体" w:hAnsi="宋体" w:eastAsia="宋体" w:cs="宋体"/>
                <w:sz w:val="18"/>
                <w:szCs w:val="18"/>
              </w:rPr>
            </w:pPr>
            <w:r>
              <w:rPr>
                <w:rFonts w:hint="eastAsia" w:ascii="宋体" w:hAnsi="宋体" w:eastAsia="宋体" w:cs="宋体"/>
                <w:sz w:val="18"/>
                <w:szCs w:val="18"/>
              </w:rPr>
              <w:t>0.01</w:t>
            </w:r>
          </w:p>
        </w:tc>
        <w:tc>
          <w:tcPr>
            <w:tcW w:w="1417" w:type="dxa"/>
            <w:tcBorders>
              <w:top w:val="nil"/>
              <w:left w:val="nil"/>
              <w:bottom w:val="single" w:color="auto" w:sz="4" w:space="0"/>
              <w:right w:val="single" w:color="auto" w:sz="4" w:space="0"/>
            </w:tcBorders>
            <w:vAlign w:val="center"/>
          </w:tcPr>
          <w:p w14:paraId="73B8C5A1">
            <w:pPr>
              <w:jc w:val="center"/>
              <w:rPr>
                <w:rFonts w:hint="eastAsia" w:ascii="宋体" w:hAnsi="宋体" w:eastAsia="宋体" w:cs="宋体"/>
                <w:sz w:val="18"/>
                <w:szCs w:val="18"/>
              </w:rPr>
            </w:pPr>
            <w:r>
              <w:rPr>
                <w:rFonts w:hint="eastAsia" w:ascii="宋体" w:hAnsi="宋体" w:eastAsia="宋体" w:cs="宋体"/>
                <w:sz w:val="18"/>
                <w:szCs w:val="18"/>
              </w:rPr>
              <w:t>0.01</w:t>
            </w:r>
          </w:p>
        </w:tc>
        <w:tc>
          <w:tcPr>
            <w:tcW w:w="1134" w:type="dxa"/>
            <w:tcBorders>
              <w:top w:val="nil"/>
              <w:left w:val="nil"/>
              <w:bottom w:val="single" w:color="auto" w:sz="4" w:space="0"/>
              <w:right w:val="single" w:color="auto" w:sz="4" w:space="0"/>
            </w:tcBorders>
            <w:vAlign w:val="center"/>
          </w:tcPr>
          <w:p w14:paraId="1282B67D">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3B9F9CC5">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54E16B7">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4FCA72ED">
            <w:pPr>
              <w:jc w:val="center"/>
              <w:rPr>
                <w:rFonts w:hint="eastAsia" w:ascii="宋体" w:hAnsi="宋体" w:eastAsia="宋体" w:cs="宋体"/>
                <w:sz w:val="18"/>
                <w:szCs w:val="18"/>
              </w:rPr>
            </w:pPr>
          </w:p>
        </w:tc>
      </w:tr>
      <w:tr w14:paraId="4EA7AF83">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25AE31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3C7E938">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274AAB5D">
            <w:pPr>
              <w:jc w:val="center"/>
              <w:rPr>
                <w:rFonts w:hint="eastAsia" w:ascii="宋体" w:hAnsi="宋体" w:eastAsia="宋体" w:cs="宋体"/>
                <w:sz w:val="18"/>
                <w:szCs w:val="18"/>
              </w:rPr>
            </w:pPr>
            <w:r>
              <w:rPr>
                <w:rFonts w:hint="eastAsia" w:ascii="宋体" w:hAnsi="宋体" w:eastAsia="宋体" w:cs="宋体"/>
                <w:sz w:val="18"/>
                <w:szCs w:val="18"/>
              </w:rPr>
              <w:t>394.72</w:t>
            </w:r>
          </w:p>
        </w:tc>
        <w:tc>
          <w:tcPr>
            <w:tcW w:w="1242" w:type="dxa"/>
            <w:tcBorders>
              <w:top w:val="nil"/>
              <w:left w:val="nil"/>
              <w:bottom w:val="single" w:color="auto" w:sz="4" w:space="0"/>
              <w:right w:val="single" w:color="auto" w:sz="4" w:space="0"/>
            </w:tcBorders>
            <w:vAlign w:val="center"/>
          </w:tcPr>
          <w:p w14:paraId="769CD417">
            <w:pPr>
              <w:jc w:val="center"/>
              <w:rPr>
                <w:rFonts w:hint="eastAsia" w:ascii="宋体" w:hAnsi="宋体" w:eastAsia="宋体" w:cs="宋体"/>
                <w:sz w:val="18"/>
                <w:szCs w:val="18"/>
              </w:rPr>
            </w:pPr>
            <w:r>
              <w:rPr>
                <w:rFonts w:hint="eastAsia" w:ascii="宋体" w:hAnsi="宋体" w:eastAsia="宋体" w:cs="宋体"/>
                <w:sz w:val="18"/>
                <w:szCs w:val="18"/>
              </w:rPr>
              <w:t>400.55</w:t>
            </w:r>
          </w:p>
        </w:tc>
        <w:tc>
          <w:tcPr>
            <w:tcW w:w="1417" w:type="dxa"/>
            <w:tcBorders>
              <w:top w:val="nil"/>
              <w:left w:val="nil"/>
              <w:bottom w:val="single" w:color="auto" w:sz="4" w:space="0"/>
              <w:right w:val="single" w:color="auto" w:sz="4" w:space="0"/>
            </w:tcBorders>
            <w:vAlign w:val="center"/>
          </w:tcPr>
          <w:p w14:paraId="7981773B">
            <w:pPr>
              <w:jc w:val="center"/>
              <w:rPr>
                <w:rFonts w:hint="eastAsia" w:ascii="宋体" w:hAnsi="宋体" w:eastAsia="宋体" w:cs="宋体"/>
                <w:sz w:val="18"/>
                <w:szCs w:val="18"/>
              </w:rPr>
            </w:pPr>
            <w:r>
              <w:rPr>
                <w:rFonts w:hint="eastAsia" w:ascii="宋体" w:hAnsi="宋体" w:eastAsia="宋体" w:cs="宋体"/>
                <w:sz w:val="18"/>
                <w:szCs w:val="18"/>
              </w:rPr>
              <w:t>400.55</w:t>
            </w:r>
          </w:p>
        </w:tc>
        <w:tc>
          <w:tcPr>
            <w:tcW w:w="1134" w:type="dxa"/>
            <w:tcBorders>
              <w:top w:val="nil"/>
              <w:left w:val="nil"/>
              <w:bottom w:val="single" w:color="auto" w:sz="4" w:space="0"/>
              <w:right w:val="single" w:color="auto" w:sz="4" w:space="0"/>
            </w:tcBorders>
            <w:vAlign w:val="center"/>
          </w:tcPr>
          <w:p w14:paraId="76C7FC74">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712CEF3D">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63E2F629">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150A7E9B">
            <w:pPr>
              <w:jc w:val="center"/>
              <w:rPr>
                <w:rFonts w:hint="eastAsia" w:ascii="宋体" w:hAnsi="宋体" w:eastAsia="宋体" w:cs="宋体"/>
                <w:sz w:val="18"/>
                <w:szCs w:val="18"/>
              </w:rPr>
            </w:pPr>
          </w:p>
        </w:tc>
      </w:tr>
      <w:tr w14:paraId="737E1C6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2051F11">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698586EC">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4295EAF8">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0C6400C4">
            <w:pPr>
              <w:rPr>
                <w:rFonts w:hint="eastAsia" w:ascii="宋体" w:hAnsi="宋体" w:eastAsia="宋体" w:cs="宋体"/>
                <w:b/>
                <w:bCs/>
                <w:sz w:val="18"/>
                <w:szCs w:val="18"/>
              </w:rPr>
            </w:pPr>
          </w:p>
        </w:tc>
      </w:tr>
      <w:tr w14:paraId="0302C1AC">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8151E12">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6D2F7346">
            <w:pPr>
              <w:rPr>
                <w:rFonts w:hint="eastAsia" w:ascii="宋体" w:hAnsi="宋体" w:eastAsia="宋体" w:cs="宋体"/>
                <w:sz w:val="18"/>
                <w:szCs w:val="18"/>
                <w:lang w:eastAsia="zh-CN"/>
              </w:rPr>
            </w:pPr>
            <w:r>
              <w:rPr>
                <w:rFonts w:hint="eastAsia" w:ascii="宋体" w:hAnsi="宋体" w:eastAsia="宋体" w:cs="宋体"/>
                <w:sz w:val="18"/>
                <w:szCs w:val="18"/>
                <w:lang w:eastAsia="zh-CN"/>
              </w:rPr>
              <w:t>2024年积极创作演出民族歌舞节目，完成演出80场次，开展送歌舞下乡演出15场次、参与大型演出活动2次、举办歌舞培训10次活动，推广民族艺术，丰富农牧民群众文化活动。</w:t>
            </w:r>
          </w:p>
        </w:tc>
        <w:tc>
          <w:tcPr>
            <w:tcW w:w="4581" w:type="dxa"/>
            <w:gridSpan w:val="4"/>
            <w:tcBorders>
              <w:top w:val="single" w:color="auto" w:sz="4" w:space="0"/>
              <w:left w:val="nil"/>
              <w:bottom w:val="single" w:color="auto" w:sz="4" w:space="0"/>
              <w:right w:val="single" w:color="auto" w:sz="4" w:space="0"/>
            </w:tcBorders>
          </w:tcPr>
          <w:p w14:paraId="5066435C">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31日，我单位已完成如下工作：民族歌舞团正常运行，完成年演出80场次，下乡巡回演出15场次，参与大型文艺演出活动2次，举办歌舞培训10次。通过本年度演出工作，丰富了全县人民业余生活，老百姓获得感和幸福感提升。</w:t>
            </w:r>
          </w:p>
        </w:tc>
        <w:tc>
          <w:tcPr>
            <w:tcW w:w="284" w:type="dxa"/>
            <w:tcBorders>
              <w:top w:val="nil"/>
              <w:left w:val="nil"/>
              <w:bottom w:val="nil"/>
              <w:right w:val="nil"/>
            </w:tcBorders>
            <w:noWrap/>
            <w:vAlign w:val="center"/>
          </w:tcPr>
          <w:p w14:paraId="7E32EEDE">
            <w:pPr>
              <w:rPr>
                <w:rFonts w:hint="eastAsia" w:ascii="宋体" w:hAnsi="宋体" w:eastAsia="宋体" w:cs="宋体"/>
                <w:sz w:val="18"/>
                <w:szCs w:val="18"/>
                <w:lang w:eastAsia="zh-CN"/>
              </w:rPr>
            </w:pPr>
          </w:p>
        </w:tc>
      </w:tr>
      <w:tr w14:paraId="32537827">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BCCA340">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149F97D6">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49909F18">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4C3437F4">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0A537C7C">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3FDB69A7">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5F7105E1">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0DFB7D41">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0400EB67">
            <w:pPr>
              <w:rPr>
                <w:rFonts w:hint="eastAsia" w:ascii="宋体" w:hAnsi="宋体" w:eastAsia="宋体" w:cs="宋体"/>
                <w:b/>
                <w:bCs/>
                <w:sz w:val="18"/>
                <w:szCs w:val="18"/>
              </w:rPr>
            </w:pPr>
          </w:p>
        </w:tc>
      </w:tr>
      <w:tr w14:paraId="33610E2B">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73550AD">
            <w:pPr>
              <w:jc w:val="center"/>
              <w:rPr>
                <w:rFonts w:hint="eastAsia" w:ascii="宋体" w:hAnsi="宋体" w:eastAsia="宋体" w:cs="宋体"/>
                <w:sz w:val="18"/>
                <w:szCs w:val="18"/>
              </w:rPr>
            </w:pPr>
            <w:r>
              <w:rPr>
                <w:rFonts w:hint="eastAsia" w:ascii="宋体" w:hAnsi="宋体" w:eastAsia="宋体" w:cs="宋体"/>
                <w:sz w:val="18"/>
                <w:szCs w:val="18"/>
              </w:rPr>
              <w:t>管理效率</w:t>
            </w:r>
          </w:p>
        </w:tc>
        <w:tc>
          <w:tcPr>
            <w:tcW w:w="1417" w:type="dxa"/>
            <w:vMerge w:val="restart"/>
            <w:tcBorders>
              <w:top w:val="nil"/>
              <w:left w:val="nil"/>
              <w:right w:val="single" w:color="auto" w:sz="4" w:space="0"/>
            </w:tcBorders>
            <w:noWrap/>
            <w:vAlign w:val="center"/>
          </w:tcPr>
          <w:p w14:paraId="6364D4E3">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2E47F2B7">
            <w:pPr>
              <w:jc w:val="center"/>
              <w:rPr>
                <w:rFonts w:hint="eastAsia" w:ascii="宋体" w:hAnsi="宋体" w:eastAsia="宋体" w:cs="宋体"/>
                <w:sz w:val="18"/>
                <w:szCs w:val="18"/>
              </w:rPr>
            </w:pPr>
            <w:r>
              <w:rPr>
                <w:rFonts w:hint="eastAsia" w:ascii="宋体" w:hAnsi="宋体" w:eastAsia="宋体" w:cs="宋体"/>
                <w:sz w:val="18"/>
                <w:szCs w:val="18"/>
              </w:rPr>
              <w:t>下乡巡回演出数量</w:t>
            </w:r>
          </w:p>
        </w:tc>
        <w:tc>
          <w:tcPr>
            <w:tcW w:w="1242" w:type="dxa"/>
            <w:tcBorders>
              <w:top w:val="nil"/>
              <w:left w:val="nil"/>
              <w:bottom w:val="single" w:color="auto" w:sz="4" w:space="0"/>
              <w:right w:val="single" w:color="auto" w:sz="4" w:space="0"/>
            </w:tcBorders>
            <w:noWrap/>
            <w:vAlign w:val="center"/>
          </w:tcPr>
          <w:p w14:paraId="19371FB0">
            <w:pPr>
              <w:jc w:val="center"/>
              <w:rPr>
                <w:rFonts w:hint="eastAsia" w:ascii="宋体" w:hAnsi="宋体" w:eastAsia="宋体" w:cs="宋体"/>
                <w:sz w:val="18"/>
                <w:szCs w:val="18"/>
              </w:rPr>
            </w:pPr>
            <w:r>
              <w:rPr>
                <w:rFonts w:hint="eastAsia" w:ascii="宋体" w:hAnsi="宋体" w:eastAsia="宋体" w:cs="宋体"/>
                <w:sz w:val="18"/>
                <w:szCs w:val="18"/>
              </w:rPr>
              <w:t>&gt;=15次</w:t>
            </w:r>
          </w:p>
        </w:tc>
        <w:tc>
          <w:tcPr>
            <w:tcW w:w="1417" w:type="dxa"/>
            <w:tcBorders>
              <w:top w:val="nil"/>
              <w:left w:val="nil"/>
              <w:bottom w:val="single" w:color="auto" w:sz="4" w:space="0"/>
              <w:right w:val="single" w:color="auto" w:sz="4" w:space="0"/>
            </w:tcBorders>
            <w:noWrap/>
            <w:vAlign w:val="center"/>
          </w:tcPr>
          <w:p w14:paraId="72C7682B">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木垒县民族歌舞团2024年工作计划</w:t>
            </w:r>
          </w:p>
        </w:tc>
        <w:tc>
          <w:tcPr>
            <w:tcW w:w="1134" w:type="dxa"/>
            <w:tcBorders>
              <w:top w:val="nil"/>
              <w:left w:val="nil"/>
              <w:bottom w:val="single" w:color="auto" w:sz="4" w:space="0"/>
              <w:right w:val="single" w:color="auto" w:sz="4" w:space="0"/>
            </w:tcBorders>
            <w:noWrap/>
            <w:vAlign w:val="center"/>
          </w:tcPr>
          <w:p w14:paraId="66F43387">
            <w:pPr>
              <w:jc w:val="center"/>
              <w:rPr>
                <w:rFonts w:hint="eastAsia" w:ascii="宋体" w:hAnsi="宋体" w:eastAsia="宋体" w:cs="宋体"/>
                <w:sz w:val="18"/>
                <w:szCs w:val="18"/>
              </w:rPr>
            </w:pPr>
            <w:r>
              <w:rPr>
                <w:rFonts w:hint="eastAsia" w:ascii="宋体" w:hAnsi="宋体" w:eastAsia="宋体" w:cs="宋体"/>
                <w:sz w:val="18"/>
                <w:szCs w:val="18"/>
              </w:rPr>
              <w:t>25</w:t>
            </w:r>
          </w:p>
        </w:tc>
        <w:tc>
          <w:tcPr>
            <w:tcW w:w="1310" w:type="dxa"/>
            <w:tcBorders>
              <w:top w:val="nil"/>
              <w:left w:val="nil"/>
              <w:bottom w:val="single" w:color="auto" w:sz="4" w:space="0"/>
              <w:right w:val="single" w:color="auto" w:sz="4" w:space="0"/>
            </w:tcBorders>
            <w:noWrap/>
            <w:vAlign w:val="center"/>
          </w:tcPr>
          <w:p w14:paraId="4169B043">
            <w:pPr>
              <w:jc w:val="center"/>
              <w:rPr>
                <w:rFonts w:hint="eastAsia" w:ascii="宋体" w:hAnsi="宋体" w:eastAsia="宋体" w:cs="宋体"/>
                <w:sz w:val="18"/>
                <w:szCs w:val="18"/>
              </w:rPr>
            </w:pPr>
            <w:r>
              <w:rPr>
                <w:rFonts w:hint="eastAsia" w:ascii="宋体" w:hAnsi="宋体" w:eastAsia="宋体" w:cs="宋体"/>
                <w:sz w:val="18"/>
                <w:szCs w:val="18"/>
              </w:rPr>
              <w:t>15次</w:t>
            </w:r>
          </w:p>
        </w:tc>
        <w:tc>
          <w:tcPr>
            <w:tcW w:w="720" w:type="dxa"/>
            <w:tcBorders>
              <w:top w:val="nil"/>
              <w:left w:val="nil"/>
              <w:bottom w:val="single" w:color="auto" w:sz="4" w:space="0"/>
              <w:right w:val="single" w:color="auto" w:sz="4" w:space="0"/>
            </w:tcBorders>
            <w:noWrap/>
            <w:vAlign w:val="center"/>
          </w:tcPr>
          <w:p w14:paraId="0E9BDB9A">
            <w:pPr>
              <w:jc w:val="center"/>
              <w:rPr>
                <w:rFonts w:hint="eastAsia" w:ascii="宋体" w:hAnsi="宋体" w:eastAsia="宋体" w:cs="宋体"/>
                <w:sz w:val="18"/>
                <w:szCs w:val="18"/>
              </w:rPr>
            </w:pPr>
            <w:r>
              <w:rPr>
                <w:rFonts w:hint="eastAsia" w:ascii="宋体" w:hAnsi="宋体" w:eastAsia="宋体" w:cs="宋体"/>
                <w:sz w:val="18"/>
                <w:szCs w:val="18"/>
              </w:rPr>
              <w:t>25</w:t>
            </w:r>
          </w:p>
        </w:tc>
        <w:tc>
          <w:tcPr>
            <w:tcW w:w="284" w:type="dxa"/>
            <w:tcBorders>
              <w:top w:val="nil"/>
              <w:left w:val="nil"/>
              <w:bottom w:val="nil"/>
              <w:right w:val="nil"/>
            </w:tcBorders>
            <w:noWrap/>
            <w:vAlign w:val="center"/>
          </w:tcPr>
          <w:p w14:paraId="0C444D95">
            <w:pPr>
              <w:jc w:val="center"/>
              <w:rPr>
                <w:rFonts w:hint="eastAsia" w:ascii="宋体" w:hAnsi="宋体" w:eastAsia="宋体" w:cs="宋体"/>
                <w:sz w:val="18"/>
                <w:szCs w:val="18"/>
              </w:rPr>
            </w:pPr>
          </w:p>
        </w:tc>
      </w:tr>
      <w:tr w14:paraId="63559985">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2D695493">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continue"/>
            <w:tcBorders>
              <w:left w:val="nil"/>
              <w:right w:val="single" w:color="auto" w:sz="4" w:space="0"/>
            </w:tcBorders>
            <w:noWrap/>
            <w:vAlign w:val="center"/>
          </w:tcPr>
          <w:p w14:paraId="3CDE53C9">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8410B54">
            <w:pPr>
              <w:jc w:val="center"/>
              <w:rPr>
                <w:rFonts w:hint="eastAsia" w:ascii="宋体" w:hAnsi="宋体" w:eastAsia="宋体" w:cs="宋体"/>
                <w:sz w:val="18"/>
                <w:szCs w:val="18"/>
              </w:rPr>
            </w:pPr>
            <w:r>
              <w:rPr>
                <w:rFonts w:hint="eastAsia" w:ascii="宋体" w:hAnsi="宋体" w:eastAsia="宋体" w:cs="宋体"/>
                <w:sz w:val="18"/>
                <w:szCs w:val="18"/>
              </w:rPr>
              <w:t>年演出场次</w:t>
            </w:r>
          </w:p>
        </w:tc>
        <w:tc>
          <w:tcPr>
            <w:tcW w:w="1242" w:type="dxa"/>
            <w:tcBorders>
              <w:top w:val="nil"/>
              <w:left w:val="nil"/>
              <w:bottom w:val="single" w:color="auto" w:sz="4" w:space="0"/>
              <w:right w:val="single" w:color="auto" w:sz="4" w:space="0"/>
            </w:tcBorders>
            <w:noWrap/>
            <w:vAlign w:val="center"/>
          </w:tcPr>
          <w:p w14:paraId="325C7008">
            <w:pPr>
              <w:jc w:val="center"/>
              <w:rPr>
                <w:rFonts w:hint="eastAsia" w:ascii="宋体" w:hAnsi="宋体" w:eastAsia="宋体" w:cs="宋体"/>
                <w:sz w:val="18"/>
                <w:szCs w:val="18"/>
              </w:rPr>
            </w:pPr>
            <w:r>
              <w:rPr>
                <w:rFonts w:hint="eastAsia" w:ascii="宋体" w:hAnsi="宋体" w:eastAsia="宋体" w:cs="宋体"/>
                <w:sz w:val="18"/>
                <w:szCs w:val="18"/>
              </w:rPr>
              <w:t>&gt;=80场次</w:t>
            </w:r>
          </w:p>
        </w:tc>
        <w:tc>
          <w:tcPr>
            <w:tcW w:w="1417" w:type="dxa"/>
            <w:tcBorders>
              <w:top w:val="nil"/>
              <w:left w:val="nil"/>
              <w:bottom w:val="single" w:color="auto" w:sz="4" w:space="0"/>
              <w:right w:val="single" w:color="auto" w:sz="4" w:space="0"/>
            </w:tcBorders>
            <w:noWrap/>
            <w:vAlign w:val="center"/>
          </w:tcPr>
          <w:p w14:paraId="1F42A692">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木垒县民族歌舞团2024年工作计划</w:t>
            </w:r>
          </w:p>
        </w:tc>
        <w:tc>
          <w:tcPr>
            <w:tcW w:w="1134" w:type="dxa"/>
            <w:tcBorders>
              <w:top w:val="nil"/>
              <w:left w:val="nil"/>
              <w:bottom w:val="single" w:color="auto" w:sz="4" w:space="0"/>
              <w:right w:val="single" w:color="auto" w:sz="4" w:space="0"/>
            </w:tcBorders>
            <w:noWrap/>
            <w:vAlign w:val="center"/>
          </w:tcPr>
          <w:p w14:paraId="5AFCE356">
            <w:pPr>
              <w:jc w:val="center"/>
              <w:rPr>
                <w:rFonts w:hint="eastAsia" w:ascii="宋体" w:hAnsi="宋体" w:eastAsia="宋体" w:cs="宋体"/>
                <w:sz w:val="18"/>
                <w:szCs w:val="18"/>
              </w:rPr>
            </w:pPr>
            <w:r>
              <w:rPr>
                <w:rFonts w:hint="eastAsia" w:ascii="宋体" w:hAnsi="宋体" w:eastAsia="宋体" w:cs="宋体"/>
                <w:sz w:val="18"/>
                <w:szCs w:val="18"/>
              </w:rPr>
              <w:t>25</w:t>
            </w:r>
          </w:p>
        </w:tc>
        <w:tc>
          <w:tcPr>
            <w:tcW w:w="1310" w:type="dxa"/>
            <w:tcBorders>
              <w:top w:val="nil"/>
              <w:left w:val="nil"/>
              <w:bottom w:val="single" w:color="auto" w:sz="4" w:space="0"/>
              <w:right w:val="single" w:color="auto" w:sz="4" w:space="0"/>
            </w:tcBorders>
            <w:noWrap/>
            <w:vAlign w:val="center"/>
          </w:tcPr>
          <w:p w14:paraId="32AA5234">
            <w:pPr>
              <w:jc w:val="center"/>
              <w:rPr>
                <w:rFonts w:hint="eastAsia" w:ascii="宋体" w:hAnsi="宋体" w:eastAsia="宋体" w:cs="宋体"/>
                <w:sz w:val="18"/>
                <w:szCs w:val="18"/>
              </w:rPr>
            </w:pPr>
            <w:r>
              <w:rPr>
                <w:rFonts w:hint="eastAsia" w:ascii="宋体" w:hAnsi="宋体" w:eastAsia="宋体" w:cs="宋体"/>
                <w:sz w:val="18"/>
                <w:szCs w:val="18"/>
              </w:rPr>
              <w:t>80场次</w:t>
            </w:r>
          </w:p>
        </w:tc>
        <w:tc>
          <w:tcPr>
            <w:tcW w:w="720" w:type="dxa"/>
            <w:tcBorders>
              <w:top w:val="nil"/>
              <w:left w:val="nil"/>
              <w:bottom w:val="single" w:color="auto" w:sz="4" w:space="0"/>
              <w:right w:val="single" w:color="auto" w:sz="4" w:space="0"/>
            </w:tcBorders>
            <w:noWrap/>
            <w:vAlign w:val="center"/>
          </w:tcPr>
          <w:p w14:paraId="4B206750">
            <w:pPr>
              <w:jc w:val="center"/>
              <w:rPr>
                <w:rFonts w:hint="eastAsia" w:ascii="宋体" w:hAnsi="宋体" w:eastAsia="宋体" w:cs="宋体"/>
                <w:sz w:val="18"/>
                <w:szCs w:val="18"/>
              </w:rPr>
            </w:pPr>
            <w:r>
              <w:rPr>
                <w:rFonts w:hint="eastAsia" w:ascii="宋体" w:hAnsi="宋体" w:eastAsia="宋体" w:cs="宋体"/>
                <w:sz w:val="18"/>
                <w:szCs w:val="18"/>
              </w:rPr>
              <w:t>25</w:t>
            </w:r>
          </w:p>
        </w:tc>
        <w:tc>
          <w:tcPr>
            <w:tcW w:w="284" w:type="dxa"/>
            <w:tcBorders>
              <w:top w:val="nil"/>
              <w:left w:val="nil"/>
              <w:bottom w:val="nil"/>
              <w:right w:val="nil"/>
            </w:tcBorders>
            <w:noWrap/>
            <w:vAlign w:val="center"/>
          </w:tcPr>
          <w:p w14:paraId="35283A69">
            <w:pPr>
              <w:jc w:val="center"/>
              <w:rPr>
                <w:rFonts w:hint="eastAsia" w:ascii="宋体" w:hAnsi="宋体" w:eastAsia="宋体" w:cs="宋体"/>
                <w:sz w:val="18"/>
                <w:szCs w:val="18"/>
              </w:rPr>
            </w:pPr>
          </w:p>
        </w:tc>
      </w:tr>
      <w:tr w14:paraId="4DEFD0D3">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5EF792D">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2F08A8D6">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A41EC6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参与大型文艺演出场次</w:t>
            </w:r>
          </w:p>
        </w:tc>
        <w:tc>
          <w:tcPr>
            <w:tcW w:w="1242" w:type="dxa"/>
            <w:tcBorders>
              <w:top w:val="nil"/>
              <w:left w:val="nil"/>
              <w:bottom w:val="single" w:color="auto" w:sz="4" w:space="0"/>
              <w:right w:val="single" w:color="auto" w:sz="4" w:space="0"/>
            </w:tcBorders>
            <w:noWrap/>
            <w:vAlign w:val="center"/>
          </w:tcPr>
          <w:p w14:paraId="4E167937">
            <w:pPr>
              <w:jc w:val="center"/>
              <w:rPr>
                <w:rFonts w:hint="eastAsia" w:ascii="宋体" w:hAnsi="宋体" w:eastAsia="宋体" w:cs="宋体"/>
                <w:sz w:val="18"/>
                <w:szCs w:val="18"/>
              </w:rPr>
            </w:pPr>
            <w:r>
              <w:rPr>
                <w:rFonts w:hint="eastAsia" w:ascii="宋体" w:hAnsi="宋体" w:eastAsia="宋体" w:cs="宋体"/>
                <w:sz w:val="18"/>
                <w:szCs w:val="18"/>
              </w:rPr>
              <w:t>&gt;=2次</w:t>
            </w:r>
          </w:p>
        </w:tc>
        <w:tc>
          <w:tcPr>
            <w:tcW w:w="1417" w:type="dxa"/>
            <w:tcBorders>
              <w:top w:val="nil"/>
              <w:left w:val="nil"/>
              <w:bottom w:val="single" w:color="auto" w:sz="4" w:space="0"/>
              <w:right w:val="single" w:color="auto" w:sz="4" w:space="0"/>
            </w:tcBorders>
            <w:noWrap/>
            <w:vAlign w:val="center"/>
          </w:tcPr>
          <w:p w14:paraId="4F351882">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木垒县民族歌舞团2024年工作计划</w:t>
            </w:r>
          </w:p>
        </w:tc>
        <w:tc>
          <w:tcPr>
            <w:tcW w:w="1134" w:type="dxa"/>
            <w:tcBorders>
              <w:top w:val="nil"/>
              <w:left w:val="nil"/>
              <w:bottom w:val="single" w:color="auto" w:sz="4" w:space="0"/>
              <w:right w:val="single" w:color="auto" w:sz="4" w:space="0"/>
            </w:tcBorders>
            <w:noWrap/>
            <w:vAlign w:val="center"/>
          </w:tcPr>
          <w:p w14:paraId="42FA11C9">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0E892EB4">
            <w:pPr>
              <w:jc w:val="center"/>
              <w:rPr>
                <w:rFonts w:hint="eastAsia" w:ascii="宋体" w:hAnsi="宋体" w:eastAsia="宋体" w:cs="宋体"/>
                <w:sz w:val="18"/>
                <w:szCs w:val="18"/>
              </w:rPr>
            </w:pPr>
            <w:r>
              <w:rPr>
                <w:rFonts w:hint="eastAsia" w:ascii="宋体" w:hAnsi="宋体" w:eastAsia="宋体" w:cs="宋体"/>
                <w:sz w:val="18"/>
                <w:szCs w:val="18"/>
              </w:rPr>
              <w:t>2次</w:t>
            </w:r>
          </w:p>
        </w:tc>
        <w:tc>
          <w:tcPr>
            <w:tcW w:w="720" w:type="dxa"/>
            <w:tcBorders>
              <w:top w:val="nil"/>
              <w:left w:val="nil"/>
              <w:bottom w:val="single" w:color="auto" w:sz="4" w:space="0"/>
              <w:right w:val="single" w:color="auto" w:sz="4" w:space="0"/>
            </w:tcBorders>
            <w:noWrap/>
            <w:vAlign w:val="center"/>
          </w:tcPr>
          <w:p w14:paraId="3FD16B55">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600F81B4">
            <w:pPr>
              <w:jc w:val="center"/>
              <w:rPr>
                <w:rFonts w:hint="eastAsia" w:ascii="宋体" w:hAnsi="宋体" w:eastAsia="宋体" w:cs="宋体"/>
                <w:sz w:val="18"/>
                <w:szCs w:val="18"/>
              </w:rPr>
            </w:pPr>
          </w:p>
        </w:tc>
      </w:tr>
      <w:tr w14:paraId="09A0CE8C">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42B00DA">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00CC68A4">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CD70CF5">
            <w:pPr>
              <w:jc w:val="center"/>
              <w:rPr>
                <w:rFonts w:hint="eastAsia" w:ascii="宋体" w:hAnsi="宋体" w:eastAsia="宋体" w:cs="宋体"/>
                <w:sz w:val="18"/>
                <w:szCs w:val="18"/>
              </w:rPr>
            </w:pPr>
            <w:r>
              <w:rPr>
                <w:rFonts w:hint="eastAsia" w:ascii="宋体" w:hAnsi="宋体" w:eastAsia="宋体" w:cs="宋体"/>
                <w:sz w:val="18"/>
                <w:szCs w:val="18"/>
              </w:rPr>
              <w:t>举办歌舞培训数量</w:t>
            </w:r>
          </w:p>
        </w:tc>
        <w:tc>
          <w:tcPr>
            <w:tcW w:w="1242" w:type="dxa"/>
            <w:tcBorders>
              <w:top w:val="nil"/>
              <w:left w:val="nil"/>
              <w:bottom w:val="single" w:color="auto" w:sz="4" w:space="0"/>
              <w:right w:val="single" w:color="auto" w:sz="4" w:space="0"/>
            </w:tcBorders>
            <w:noWrap/>
            <w:vAlign w:val="center"/>
          </w:tcPr>
          <w:p w14:paraId="2118E162">
            <w:pPr>
              <w:jc w:val="center"/>
              <w:rPr>
                <w:rFonts w:hint="eastAsia" w:ascii="宋体" w:hAnsi="宋体" w:eastAsia="宋体" w:cs="宋体"/>
                <w:sz w:val="18"/>
                <w:szCs w:val="18"/>
              </w:rPr>
            </w:pPr>
            <w:r>
              <w:rPr>
                <w:rFonts w:hint="eastAsia" w:ascii="宋体" w:hAnsi="宋体" w:eastAsia="宋体" w:cs="宋体"/>
                <w:sz w:val="18"/>
                <w:szCs w:val="18"/>
              </w:rPr>
              <w:t>&gt;=10次</w:t>
            </w:r>
          </w:p>
        </w:tc>
        <w:tc>
          <w:tcPr>
            <w:tcW w:w="1417" w:type="dxa"/>
            <w:tcBorders>
              <w:top w:val="nil"/>
              <w:left w:val="nil"/>
              <w:bottom w:val="single" w:color="auto" w:sz="4" w:space="0"/>
              <w:right w:val="single" w:color="auto" w:sz="4" w:space="0"/>
            </w:tcBorders>
            <w:noWrap/>
            <w:vAlign w:val="center"/>
          </w:tcPr>
          <w:p w14:paraId="528B2B64">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木垒县民族歌舞团2024年工作计划</w:t>
            </w:r>
          </w:p>
        </w:tc>
        <w:tc>
          <w:tcPr>
            <w:tcW w:w="1134" w:type="dxa"/>
            <w:tcBorders>
              <w:top w:val="nil"/>
              <w:left w:val="nil"/>
              <w:bottom w:val="single" w:color="auto" w:sz="4" w:space="0"/>
              <w:right w:val="single" w:color="auto" w:sz="4" w:space="0"/>
            </w:tcBorders>
            <w:noWrap/>
            <w:vAlign w:val="center"/>
          </w:tcPr>
          <w:p w14:paraId="400C7D69">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3A33F611">
            <w:pPr>
              <w:jc w:val="center"/>
              <w:rPr>
                <w:rFonts w:hint="eastAsia" w:ascii="宋体" w:hAnsi="宋体" w:eastAsia="宋体" w:cs="宋体"/>
                <w:sz w:val="18"/>
                <w:szCs w:val="18"/>
              </w:rPr>
            </w:pPr>
            <w:r>
              <w:rPr>
                <w:rFonts w:hint="eastAsia" w:ascii="宋体" w:hAnsi="宋体" w:eastAsia="宋体" w:cs="宋体"/>
                <w:sz w:val="18"/>
                <w:szCs w:val="18"/>
              </w:rPr>
              <w:t>10次</w:t>
            </w:r>
          </w:p>
        </w:tc>
        <w:tc>
          <w:tcPr>
            <w:tcW w:w="720" w:type="dxa"/>
            <w:tcBorders>
              <w:top w:val="nil"/>
              <w:left w:val="nil"/>
              <w:bottom w:val="single" w:color="auto" w:sz="4" w:space="0"/>
              <w:right w:val="single" w:color="auto" w:sz="4" w:space="0"/>
            </w:tcBorders>
            <w:noWrap/>
            <w:vAlign w:val="center"/>
          </w:tcPr>
          <w:p w14:paraId="7673CA9B">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533093BE">
            <w:pPr>
              <w:jc w:val="center"/>
              <w:rPr>
                <w:rFonts w:hint="eastAsia" w:ascii="宋体" w:hAnsi="宋体" w:eastAsia="宋体" w:cs="宋体"/>
                <w:sz w:val="18"/>
                <w:szCs w:val="18"/>
              </w:rPr>
            </w:pPr>
          </w:p>
        </w:tc>
      </w:tr>
    </w:tbl>
    <w:p w14:paraId="7920814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F0BCE3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13"/>
    <w:tbl>
      <w:tblPr>
        <w:tblStyle w:val="12"/>
        <w:tblW w:w="5001" w:type="pct"/>
        <w:tblInd w:w="0" w:type="dxa"/>
        <w:tblLayout w:type="autofit"/>
        <w:tblCellMar>
          <w:top w:w="0" w:type="dxa"/>
          <w:left w:w="108" w:type="dxa"/>
          <w:bottom w:w="0" w:type="dxa"/>
          <w:right w:w="108" w:type="dxa"/>
        </w:tblCellMar>
      </w:tblPr>
      <w:tblGrid>
        <w:gridCol w:w="578"/>
        <w:gridCol w:w="526"/>
        <w:gridCol w:w="548"/>
        <w:gridCol w:w="803"/>
        <w:gridCol w:w="559"/>
        <w:gridCol w:w="756"/>
        <w:gridCol w:w="666"/>
        <w:gridCol w:w="549"/>
        <w:gridCol w:w="756"/>
        <w:gridCol w:w="574"/>
        <w:gridCol w:w="551"/>
        <w:gridCol w:w="547"/>
        <w:gridCol w:w="549"/>
        <w:gridCol w:w="896"/>
      </w:tblGrid>
      <w:tr w14:paraId="3D65BE8B">
        <w:tblPrEx>
          <w:tblCellMar>
            <w:top w:w="0" w:type="dxa"/>
            <w:left w:w="108" w:type="dxa"/>
            <w:bottom w:w="0" w:type="dxa"/>
            <w:right w:w="108" w:type="dxa"/>
          </w:tblCellMar>
        </w:tblPrEx>
        <w:trPr>
          <w:trHeight w:val="614" w:hRule="atLeast"/>
        </w:trPr>
        <w:tc>
          <w:tcPr>
            <w:tcW w:w="660" w:type="pct"/>
            <w:gridSpan w:val="2"/>
            <w:tcBorders>
              <w:top w:val="single" w:color="auto" w:sz="4" w:space="0"/>
              <w:left w:val="single" w:color="auto" w:sz="4" w:space="0"/>
              <w:bottom w:val="single" w:color="auto" w:sz="4" w:space="0"/>
              <w:right w:val="single" w:color="auto" w:sz="4" w:space="0"/>
            </w:tcBorders>
            <w:vAlign w:val="center"/>
          </w:tcPr>
          <w:p w14:paraId="32F2FCF5">
            <w:pPr>
              <w:jc w:val="center"/>
              <w:rPr>
                <w:rFonts w:hint="eastAsia" w:ascii="宋体" w:hAnsi="宋体" w:eastAsia="宋体" w:cs="宋体"/>
                <w:b/>
                <w:bCs/>
                <w:color w:val="000000"/>
                <w:sz w:val="18"/>
                <w:szCs w:val="18"/>
              </w:rPr>
            </w:pPr>
            <w:bookmarkStart w:id="14" w:name="_Hlk201837198"/>
            <w:r>
              <w:rPr>
                <w:rFonts w:hint="eastAsia" w:ascii="宋体" w:hAnsi="宋体" w:eastAsia="宋体" w:cs="宋体"/>
                <w:b/>
                <w:bCs/>
                <w:color w:val="000000"/>
                <w:sz w:val="18"/>
                <w:szCs w:val="18"/>
              </w:rPr>
              <w:t>项目名称</w:t>
            </w:r>
          </w:p>
        </w:tc>
        <w:tc>
          <w:tcPr>
            <w:tcW w:w="4340" w:type="pct"/>
            <w:gridSpan w:val="12"/>
            <w:tcBorders>
              <w:top w:val="single" w:color="auto" w:sz="4" w:space="0"/>
              <w:left w:val="nil"/>
              <w:bottom w:val="single" w:color="auto" w:sz="4" w:space="0"/>
              <w:right w:val="single" w:color="auto" w:sz="4" w:space="0"/>
            </w:tcBorders>
            <w:vAlign w:val="center"/>
          </w:tcPr>
          <w:p w14:paraId="2EDF08E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2024年文化人才专项经费项目</w:t>
            </w:r>
          </w:p>
        </w:tc>
      </w:tr>
      <w:tr w14:paraId="4326CC91">
        <w:tblPrEx>
          <w:tblCellMar>
            <w:top w:w="0" w:type="dxa"/>
            <w:left w:w="108" w:type="dxa"/>
            <w:bottom w:w="0" w:type="dxa"/>
            <w:right w:w="108" w:type="dxa"/>
          </w:tblCellMar>
        </w:tblPrEx>
        <w:trPr>
          <w:trHeight w:val="380" w:hRule="atLeast"/>
        </w:trPr>
        <w:tc>
          <w:tcPr>
            <w:tcW w:w="660" w:type="pct"/>
            <w:gridSpan w:val="2"/>
            <w:tcBorders>
              <w:top w:val="single" w:color="auto" w:sz="4" w:space="0"/>
              <w:left w:val="single" w:color="auto" w:sz="4" w:space="0"/>
              <w:bottom w:val="single" w:color="auto" w:sz="4" w:space="0"/>
              <w:right w:val="single" w:color="auto" w:sz="4" w:space="0"/>
            </w:tcBorders>
            <w:vAlign w:val="center"/>
          </w:tcPr>
          <w:p w14:paraId="034BA3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1" w:type="pct"/>
            <w:gridSpan w:val="5"/>
            <w:tcBorders>
              <w:top w:val="single" w:color="auto" w:sz="4" w:space="0"/>
              <w:left w:val="nil"/>
              <w:bottom w:val="single" w:color="auto" w:sz="4" w:space="0"/>
              <w:right w:val="single" w:color="auto" w:sz="4" w:space="0"/>
            </w:tcBorders>
            <w:vAlign w:val="center"/>
          </w:tcPr>
          <w:p w14:paraId="07CE35E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木垒哈萨克自治县文化体育广播电视和旅游局</w:t>
            </w:r>
          </w:p>
        </w:tc>
        <w:tc>
          <w:tcPr>
            <w:tcW w:w="708" w:type="pct"/>
            <w:gridSpan w:val="2"/>
            <w:tcBorders>
              <w:top w:val="single" w:color="auto" w:sz="4" w:space="0"/>
              <w:left w:val="nil"/>
              <w:bottom w:val="single" w:color="auto" w:sz="4" w:space="0"/>
              <w:right w:val="single" w:color="auto" w:sz="4" w:space="0"/>
            </w:tcBorders>
            <w:vAlign w:val="center"/>
          </w:tcPr>
          <w:p w14:paraId="0CF5FA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53A6DAD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木垒县歌舞团</w:t>
            </w:r>
          </w:p>
        </w:tc>
      </w:tr>
      <w:tr w14:paraId="4DBE51EA">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4282B4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0" w:type="pct"/>
            <w:gridSpan w:val="2"/>
            <w:tcBorders>
              <w:top w:val="single" w:color="auto" w:sz="4" w:space="0"/>
              <w:left w:val="nil"/>
              <w:bottom w:val="single" w:color="auto" w:sz="4" w:space="0"/>
              <w:right w:val="single" w:color="auto" w:sz="4" w:space="0"/>
            </w:tcBorders>
            <w:vAlign w:val="center"/>
          </w:tcPr>
          <w:p w14:paraId="2B5E6241">
            <w:pPr>
              <w:jc w:val="center"/>
              <w:rPr>
                <w:rFonts w:hint="eastAsia" w:ascii="宋体" w:hAnsi="宋体" w:eastAsia="宋体" w:cs="宋体"/>
                <w:color w:val="000000"/>
                <w:sz w:val="18"/>
                <w:szCs w:val="18"/>
              </w:rPr>
            </w:pPr>
          </w:p>
        </w:tc>
        <w:tc>
          <w:tcPr>
            <w:tcW w:w="471" w:type="pct"/>
            <w:tcBorders>
              <w:top w:val="single" w:color="auto" w:sz="4" w:space="0"/>
              <w:left w:val="nil"/>
              <w:bottom w:val="single" w:color="auto" w:sz="4" w:space="0"/>
              <w:right w:val="single" w:color="auto" w:sz="4" w:space="0"/>
            </w:tcBorders>
            <w:vAlign w:val="center"/>
          </w:tcPr>
          <w:p w14:paraId="5EEC2C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2" w:type="pct"/>
            <w:gridSpan w:val="3"/>
            <w:tcBorders>
              <w:top w:val="single" w:color="auto" w:sz="4" w:space="0"/>
              <w:left w:val="nil"/>
              <w:bottom w:val="single" w:color="auto" w:sz="4" w:space="0"/>
              <w:right w:val="single" w:color="auto" w:sz="4" w:space="0"/>
            </w:tcBorders>
            <w:vAlign w:val="center"/>
          </w:tcPr>
          <w:p w14:paraId="256BA9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2E5B7A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067734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26344D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3F9EE4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57F44E7">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19596C3B">
            <w:pPr>
              <w:rPr>
                <w:rFonts w:hint="eastAsia" w:ascii="宋体" w:hAnsi="宋体" w:eastAsia="宋体" w:cs="宋体"/>
                <w:color w:val="000000"/>
                <w:sz w:val="18"/>
                <w:szCs w:val="18"/>
              </w:rPr>
            </w:pPr>
          </w:p>
        </w:tc>
        <w:tc>
          <w:tcPr>
            <w:tcW w:w="660" w:type="pct"/>
            <w:gridSpan w:val="2"/>
            <w:tcBorders>
              <w:top w:val="single" w:color="auto" w:sz="4" w:space="0"/>
              <w:left w:val="nil"/>
              <w:bottom w:val="single" w:color="auto" w:sz="4" w:space="0"/>
              <w:right w:val="single" w:color="auto" w:sz="4" w:space="0"/>
            </w:tcBorders>
            <w:vAlign w:val="center"/>
          </w:tcPr>
          <w:p w14:paraId="1699CE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1" w:type="pct"/>
            <w:tcBorders>
              <w:top w:val="single" w:color="auto" w:sz="4" w:space="0"/>
              <w:left w:val="nil"/>
              <w:bottom w:val="single" w:color="auto" w:sz="4" w:space="0"/>
              <w:right w:val="single" w:color="auto" w:sz="4" w:space="0"/>
            </w:tcBorders>
            <w:vAlign w:val="center"/>
          </w:tcPr>
          <w:p w14:paraId="258D3D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982" w:type="pct"/>
            <w:gridSpan w:val="3"/>
            <w:tcBorders>
              <w:top w:val="single" w:color="auto" w:sz="4" w:space="0"/>
              <w:left w:val="nil"/>
              <w:bottom w:val="single" w:color="auto" w:sz="4" w:space="0"/>
              <w:right w:val="single" w:color="auto" w:sz="4" w:space="0"/>
            </w:tcBorders>
            <w:vAlign w:val="center"/>
          </w:tcPr>
          <w:p w14:paraId="367DB1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708" w:type="pct"/>
            <w:gridSpan w:val="2"/>
            <w:tcBorders>
              <w:top w:val="single" w:color="auto" w:sz="4" w:space="0"/>
              <w:left w:val="nil"/>
              <w:bottom w:val="single" w:color="auto" w:sz="4" w:space="0"/>
              <w:right w:val="single" w:color="auto" w:sz="4" w:space="0"/>
            </w:tcBorders>
            <w:vAlign w:val="center"/>
          </w:tcPr>
          <w:p w14:paraId="0F222A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671" w:type="pct"/>
            <w:gridSpan w:val="2"/>
            <w:tcBorders>
              <w:top w:val="nil"/>
              <w:left w:val="nil"/>
              <w:bottom w:val="single" w:color="auto" w:sz="4" w:space="0"/>
              <w:right w:val="single" w:color="auto" w:sz="4" w:space="0"/>
            </w:tcBorders>
            <w:vAlign w:val="center"/>
          </w:tcPr>
          <w:p w14:paraId="2CBABB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12B616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6E8814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82FF41F">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2E835305">
            <w:pPr>
              <w:rPr>
                <w:rFonts w:hint="eastAsia" w:ascii="宋体" w:hAnsi="宋体" w:eastAsia="宋体" w:cs="宋体"/>
                <w:color w:val="000000"/>
                <w:sz w:val="18"/>
                <w:szCs w:val="18"/>
              </w:rPr>
            </w:pPr>
          </w:p>
        </w:tc>
        <w:tc>
          <w:tcPr>
            <w:tcW w:w="660" w:type="pct"/>
            <w:gridSpan w:val="2"/>
            <w:tcBorders>
              <w:top w:val="single" w:color="auto" w:sz="4" w:space="0"/>
              <w:left w:val="nil"/>
              <w:bottom w:val="single" w:color="auto" w:sz="4" w:space="0"/>
              <w:right w:val="single" w:color="auto" w:sz="4" w:space="0"/>
            </w:tcBorders>
            <w:vAlign w:val="center"/>
          </w:tcPr>
          <w:p w14:paraId="7F14BF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1" w:type="pct"/>
            <w:tcBorders>
              <w:top w:val="single" w:color="auto" w:sz="4" w:space="0"/>
              <w:left w:val="nil"/>
              <w:bottom w:val="single" w:color="auto" w:sz="4" w:space="0"/>
              <w:right w:val="single" w:color="auto" w:sz="4" w:space="0"/>
            </w:tcBorders>
            <w:vAlign w:val="center"/>
          </w:tcPr>
          <w:p w14:paraId="5A01C0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982" w:type="pct"/>
            <w:gridSpan w:val="3"/>
            <w:tcBorders>
              <w:top w:val="single" w:color="auto" w:sz="4" w:space="0"/>
              <w:left w:val="nil"/>
              <w:bottom w:val="single" w:color="auto" w:sz="4" w:space="0"/>
              <w:right w:val="single" w:color="auto" w:sz="4" w:space="0"/>
            </w:tcBorders>
            <w:vAlign w:val="center"/>
          </w:tcPr>
          <w:p w14:paraId="104D3A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708" w:type="pct"/>
            <w:gridSpan w:val="2"/>
            <w:tcBorders>
              <w:top w:val="single" w:color="auto" w:sz="4" w:space="0"/>
              <w:left w:val="nil"/>
              <w:bottom w:val="single" w:color="auto" w:sz="4" w:space="0"/>
              <w:right w:val="single" w:color="auto" w:sz="4" w:space="0"/>
            </w:tcBorders>
            <w:vAlign w:val="center"/>
          </w:tcPr>
          <w:p w14:paraId="7DD0FB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671" w:type="pct"/>
            <w:gridSpan w:val="2"/>
            <w:tcBorders>
              <w:top w:val="nil"/>
              <w:left w:val="nil"/>
              <w:bottom w:val="single" w:color="auto" w:sz="4" w:space="0"/>
              <w:right w:val="single" w:color="auto" w:sz="4" w:space="0"/>
            </w:tcBorders>
            <w:vAlign w:val="center"/>
          </w:tcPr>
          <w:p w14:paraId="55488D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5B7222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44A2E4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A0B259E">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22B521D4">
            <w:pPr>
              <w:rPr>
                <w:rFonts w:hint="eastAsia" w:ascii="宋体" w:hAnsi="宋体" w:eastAsia="宋体" w:cs="宋体"/>
                <w:color w:val="000000"/>
                <w:sz w:val="18"/>
                <w:szCs w:val="18"/>
              </w:rPr>
            </w:pPr>
          </w:p>
        </w:tc>
        <w:tc>
          <w:tcPr>
            <w:tcW w:w="660" w:type="pct"/>
            <w:gridSpan w:val="2"/>
            <w:tcBorders>
              <w:top w:val="single" w:color="auto" w:sz="4" w:space="0"/>
              <w:left w:val="nil"/>
              <w:bottom w:val="single" w:color="auto" w:sz="4" w:space="0"/>
              <w:right w:val="single" w:color="auto" w:sz="4" w:space="0"/>
            </w:tcBorders>
            <w:vAlign w:val="center"/>
          </w:tcPr>
          <w:p w14:paraId="19DF90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1" w:type="pct"/>
            <w:tcBorders>
              <w:top w:val="single" w:color="auto" w:sz="4" w:space="0"/>
              <w:left w:val="nil"/>
              <w:bottom w:val="single" w:color="auto" w:sz="4" w:space="0"/>
              <w:right w:val="single" w:color="auto" w:sz="4" w:space="0"/>
            </w:tcBorders>
            <w:vAlign w:val="center"/>
          </w:tcPr>
          <w:p w14:paraId="30B046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2" w:type="pct"/>
            <w:gridSpan w:val="3"/>
            <w:tcBorders>
              <w:top w:val="single" w:color="auto" w:sz="4" w:space="0"/>
              <w:left w:val="nil"/>
              <w:bottom w:val="single" w:color="auto" w:sz="4" w:space="0"/>
              <w:right w:val="single" w:color="auto" w:sz="4" w:space="0"/>
            </w:tcBorders>
            <w:vAlign w:val="center"/>
          </w:tcPr>
          <w:p w14:paraId="757FE7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46E71F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2BB61A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042F92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30236C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4C199CF">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78AF03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3" w:type="pct"/>
            <w:gridSpan w:val="6"/>
            <w:tcBorders>
              <w:top w:val="single" w:color="auto" w:sz="4" w:space="0"/>
              <w:left w:val="nil"/>
              <w:bottom w:val="single" w:color="auto" w:sz="4" w:space="0"/>
              <w:right w:val="single" w:color="auto" w:sz="4" w:space="0"/>
            </w:tcBorders>
            <w:vAlign w:val="center"/>
          </w:tcPr>
          <w:p w14:paraId="6D13FB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32990E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2A41698">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02365C4A">
            <w:pPr>
              <w:rPr>
                <w:rFonts w:hint="eastAsia" w:ascii="宋体" w:hAnsi="宋体" w:eastAsia="宋体" w:cs="宋体"/>
                <w:color w:val="000000"/>
                <w:sz w:val="18"/>
                <w:szCs w:val="18"/>
              </w:rPr>
            </w:pPr>
          </w:p>
        </w:tc>
        <w:tc>
          <w:tcPr>
            <w:tcW w:w="2113" w:type="pct"/>
            <w:gridSpan w:val="6"/>
            <w:tcBorders>
              <w:top w:val="single" w:color="auto" w:sz="4" w:space="0"/>
              <w:left w:val="nil"/>
              <w:bottom w:val="single" w:color="auto" w:sz="4" w:space="0"/>
              <w:right w:val="single" w:color="auto" w:sz="4" w:space="0"/>
            </w:tcBorders>
            <w:vAlign w:val="center"/>
          </w:tcPr>
          <w:p w14:paraId="7A7F3E4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照昌州财教[2024]13号文件，计划使用4万财政资金实施木垒县民族歌舞团专业人才服务基层工作，具体内容为：选派2名专业技术人才服务基层，开展歌舞下基层6场，举办基层歌舞培训6场，推广民族艺术，丰富农牧民群众文化活动</w:t>
            </w:r>
          </w:p>
        </w:tc>
        <w:tc>
          <w:tcPr>
            <w:tcW w:w="2559" w:type="pct"/>
            <w:gridSpan w:val="7"/>
            <w:tcBorders>
              <w:top w:val="single" w:color="auto" w:sz="4" w:space="0"/>
              <w:left w:val="nil"/>
              <w:bottom w:val="single" w:color="auto" w:sz="4" w:space="0"/>
              <w:right w:val="single" w:color="auto" w:sz="4" w:space="0"/>
            </w:tcBorders>
            <w:vAlign w:val="center"/>
          </w:tcPr>
          <w:p w14:paraId="7E85EB6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截至2024年12月31日，该项目实际完成2名专业技术人才服务基层，歌舞下基层6场次，基层歌舞培训6场；通过该项目的实施，提升了各族群众的精神文化生活，促进了民族艺术的推广。</w:t>
            </w:r>
          </w:p>
        </w:tc>
      </w:tr>
      <w:tr w14:paraId="028247EF">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1C03B923">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55E227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600654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1" w:type="pct"/>
            <w:tcBorders>
              <w:top w:val="single" w:color="auto" w:sz="4" w:space="0"/>
              <w:left w:val="nil"/>
              <w:bottom w:val="single" w:color="auto" w:sz="4" w:space="0"/>
              <w:right w:val="single" w:color="auto" w:sz="4" w:space="0"/>
            </w:tcBorders>
            <w:vAlign w:val="center"/>
          </w:tcPr>
          <w:p w14:paraId="6DE37F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4B9947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525B04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3" w:type="pct"/>
            <w:tcBorders>
              <w:top w:val="nil"/>
              <w:left w:val="nil"/>
              <w:bottom w:val="single" w:color="auto" w:sz="4" w:space="0"/>
              <w:right w:val="single" w:color="auto" w:sz="4" w:space="0"/>
            </w:tcBorders>
            <w:vAlign w:val="center"/>
          </w:tcPr>
          <w:p w14:paraId="08D039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3735AC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79" w:type="pct"/>
            <w:tcBorders>
              <w:top w:val="nil"/>
              <w:left w:val="nil"/>
              <w:bottom w:val="single" w:color="auto" w:sz="4" w:space="0"/>
              <w:right w:val="single" w:color="auto" w:sz="4" w:space="0"/>
            </w:tcBorders>
            <w:vAlign w:val="center"/>
          </w:tcPr>
          <w:p w14:paraId="211583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515FC2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61AB8F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0DB0E0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55B210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2B2D437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E49571A">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5B0E608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519A30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2352E3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1" w:type="pct"/>
            <w:tcBorders>
              <w:top w:val="single" w:color="auto" w:sz="4" w:space="0"/>
              <w:left w:val="nil"/>
              <w:bottom w:val="single" w:color="auto" w:sz="4" w:space="0"/>
              <w:right w:val="single" w:color="auto" w:sz="4" w:space="0"/>
            </w:tcBorders>
            <w:vAlign w:val="center"/>
          </w:tcPr>
          <w:p w14:paraId="3DE2770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选派专业人才服务基层人数</w:t>
            </w:r>
          </w:p>
        </w:tc>
        <w:tc>
          <w:tcPr>
            <w:tcW w:w="334" w:type="pct"/>
            <w:tcBorders>
              <w:top w:val="nil"/>
              <w:left w:val="nil"/>
              <w:bottom w:val="single" w:color="auto" w:sz="4" w:space="0"/>
              <w:right w:val="single" w:color="auto" w:sz="4" w:space="0"/>
            </w:tcBorders>
            <w:vAlign w:val="center"/>
          </w:tcPr>
          <w:p w14:paraId="33FD82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1F9236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&gt;=2人</w:t>
            </w:r>
          </w:p>
        </w:tc>
        <w:tc>
          <w:tcPr>
            <w:tcW w:w="333" w:type="pct"/>
            <w:tcBorders>
              <w:top w:val="nil"/>
              <w:left w:val="nil"/>
              <w:bottom w:val="single" w:color="auto" w:sz="4" w:space="0"/>
              <w:right w:val="single" w:color="auto" w:sz="4" w:space="0"/>
            </w:tcBorders>
            <w:vAlign w:val="center"/>
          </w:tcPr>
          <w:p w14:paraId="472F40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=2人</w:t>
            </w:r>
          </w:p>
        </w:tc>
        <w:tc>
          <w:tcPr>
            <w:tcW w:w="328" w:type="pct"/>
            <w:tcBorders>
              <w:top w:val="nil"/>
              <w:left w:val="nil"/>
              <w:bottom w:val="single" w:color="auto" w:sz="4" w:space="0"/>
              <w:right w:val="single" w:color="auto" w:sz="4" w:space="0"/>
            </w:tcBorders>
            <w:vAlign w:val="center"/>
          </w:tcPr>
          <w:p w14:paraId="7ACD0A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271180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585DA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B0973C3">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4AAF5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D954A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6345F809">
            <w:pPr>
              <w:jc w:val="center"/>
              <w:rPr>
                <w:rFonts w:hint="eastAsia" w:ascii="宋体" w:hAnsi="宋体" w:eastAsia="宋体" w:cs="宋体"/>
                <w:color w:val="000000"/>
                <w:sz w:val="18"/>
                <w:szCs w:val="18"/>
              </w:rPr>
            </w:pPr>
          </w:p>
        </w:tc>
      </w:tr>
      <w:tr w14:paraId="1C17FC8D">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E9F2E27">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2BBA605E">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80FB3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1" w:type="pct"/>
            <w:tcBorders>
              <w:top w:val="single" w:color="auto" w:sz="4" w:space="0"/>
              <w:left w:val="nil"/>
              <w:bottom w:val="single" w:color="auto" w:sz="4" w:space="0"/>
              <w:right w:val="single" w:color="auto" w:sz="4" w:space="0"/>
            </w:tcBorders>
            <w:vAlign w:val="center"/>
          </w:tcPr>
          <w:p w14:paraId="7D697F98">
            <w:pPr>
              <w:rPr>
                <w:rFonts w:hint="eastAsia" w:ascii="宋体" w:hAnsi="宋体" w:eastAsia="宋体" w:cs="宋体"/>
                <w:color w:val="000000"/>
                <w:sz w:val="18"/>
                <w:szCs w:val="18"/>
              </w:rPr>
            </w:pPr>
            <w:r>
              <w:rPr>
                <w:rFonts w:hint="eastAsia" w:ascii="宋体" w:hAnsi="宋体" w:eastAsia="宋体" w:cs="宋体"/>
                <w:color w:val="000000"/>
                <w:sz w:val="18"/>
                <w:szCs w:val="18"/>
              </w:rPr>
              <w:t>歌舞下基层场次</w:t>
            </w:r>
          </w:p>
        </w:tc>
        <w:tc>
          <w:tcPr>
            <w:tcW w:w="334" w:type="pct"/>
            <w:tcBorders>
              <w:top w:val="nil"/>
              <w:left w:val="nil"/>
              <w:bottom w:val="single" w:color="auto" w:sz="4" w:space="0"/>
              <w:right w:val="single" w:color="auto" w:sz="4" w:space="0"/>
            </w:tcBorders>
            <w:vAlign w:val="center"/>
          </w:tcPr>
          <w:p w14:paraId="5350DE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08636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&gt;=6次</w:t>
            </w:r>
          </w:p>
        </w:tc>
        <w:tc>
          <w:tcPr>
            <w:tcW w:w="333" w:type="pct"/>
            <w:tcBorders>
              <w:top w:val="nil"/>
              <w:left w:val="nil"/>
              <w:bottom w:val="single" w:color="auto" w:sz="4" w:space="0"/>
              <w:right w:val="single" w:color="auto" w:sz="4" w:space="0"/>
            </w:tcBorders>
            <w:vAlign w:val="center"/>
          </w:tcPr>
          <w:p w14:paraId="17F2CE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=6次</w:t>
            </w:r>
          </w:p>
        </w:tc>
        <w:tc>
          <w:tcPr>
            <w:tcW w:w="328" w:type="pct"/>
            <w:tcBorders>
              <w:top w:val="nil"/>
              <w:left w:val="nil"/>
              <w:bottom w:val="single" w:color="auto" w:sz="4" w:space="0"/>
              <w:right w:val="single" w:color="auto" w:sz="4" w:space="0"/>
            </w:tcBorders>
            <w:vAlign w:val="center"/>
          </w:tcPr>
          <w:p w14:paraId="58DB14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67AD0D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74F7FD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8B35AF9">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43B5E3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3E514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765E560C">
            <w:pPr>
              <w:jc w:val="center"/>
              <w:rPr>
                <w:rFonts w:hint="eastAsia" w:ascii="宋体" w:hAnsi="宋体" w:eastAsia="宋体" w:cs="宋体"/>
                <w:color w:val="000000"/>
                <w:sz w:val="18"/>
                <w:szCs w:val="18"/>
              </w:rPr>
            </w:pPr>
          </w:p>
        </w:tc>
      </w:tr>
      <w:tr w14:paraId="475CC8F2">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F40802B">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4881CE62">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6D75A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1" w:type="pct"/>
            <w:tcBorders>
              <w:top w:val="single" w:color="auto" w:sz="4" w:space="0"/>
              <w:left w:val="nil"/>
              <w:bottom w:val="single" w:color="auto" w:sz="4" w:space="0"/>
              <w:right w:val="single" w:color="auto" w:sz="4" w:space="0"/>
            </w:tcBorders>
            <w:vAlign w:val="center"/>
          </w:tcPr>
          <w:p w14:paraId="7EB78C4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举办基层歌舞培训场次</w:t>
            </w:r>
          </w:p>
        </w:tc>
        <w:tc>
          <w:tcPr>
            <w:tcW w:w="334" w:type="pct"/>
            <w:tcBorders>
              <w:top w:val="nil"/>
              <w:left w:val="nil"/>
              <w:bottom w:val="single" w:color="auto" w:sz="4" w:space="0"/>
              <w:right w:val="single" w:color="auto" w:sz="4" w:space="0"/>
            </w:tcBorders>
            <w:vAlign w:val="center"/>
          </w:tcPr>
          <w:p w14:paraId="628C9C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4768B3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&gt;=6场次</w:t>
            </w:r>
          </w:p>
        </w:tc>
        <w:tc>
          <w:tcPr>
            <w:tcW w:w="333" w:type="pct"/>
            <w:tcBorders>
              <w:top w:val="nil"/>
              <w:left w:val="nil"/>
              <w:bottom w:val="single" w:color="auto" w:sz="4" w:space="0"/>
              <w:right w:val="single" w:color="auto" w:sz="4" w:space="0"/>
            </w:tcBorders>
            <w:vAlign w:val="center"/>
          </w:tcPr>
          <w:p w14:paraId="16BB0A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=6场次</w:t>
            </w:r>
          </w:p>
        </w:tc>
        <w:tc>
          <w:tcPr>
            <w:tcW w:w="328" w:type="pct"/>
            <w:tcBorders>
              <w:top w:val="nil"/>
              <w:left w:val="nil"/>
              <w:bottom w:val="single" w:color="auto" w:sz="4" w:space="0"/>
              <w:right w:val="single" w:color="auto" w:sz="4" w:space="0"/>
            </w:tcBorders>
            <w:vAlign w:val="center"/>
          </w:tcPr>
          <w:p w14:paraId="208D76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6E0EF0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4E2523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1C126D2">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9FAEF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AC2D7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7FD5C7BE">
            <w:pPr>
              <w:jc w:val="center"/>
              <w:rPr>
                <w:rFonts w:hint="eastAsia" w:ascii="宋体" w:hAnsi="宋体" w:eastAsia="宋体" w:cs="宋体"/>
                <w:color w:val="000000"/>
                <w:sz w:val="18"/>
                <w:szCs w:val="18"/>
              </w:rPr>
            </w:pPr>
          </w:p>
        </w:tc>
      </w:tr>
      <w:tr w14:paraId="54DBEE4E">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D95CEBE">
            <w:pP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07293F45">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46CF1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1" w:type="pct"/>
            <w:tcBorders>
              <w:top w:val="single" w:color="auto" w:sz="4" w:space="0"/>
              <w:left w:val="nil"/>
              <w:bottom w:val="single" w:color="auto" w:sz="4" w:space="0"/>
              <w:right w:val="single" w:color="auto" w:sz="4" w:space="0"/>
            </w:tcBorders>
            <w:vAlign w:val="center"/>
          </w:tcPr>
          <w:p w14:paraId="727178B3">
            <w:pPr>
              <w:rPr>
                <w:rFonts w:hint="eastAsia" w:ascii="宋体" w:hAnsi="宋体" w:eastAsia="宋体" w:cs="宋体"/>
                <w:color w:val="000000"/>
                <w:sz w:val="18"/>
                <w:szCs w:val="18"/>
              </w:rPr>
            </w:pPr>
            <w:r>
              <w:rPr>
                <w:rFonts w:hint="eastAsia" w:ascii="宋体" w:hAnsi="宋体" w:eastAsia="宋体" w:cs="宋体"/>
                <w:color w:val="000000"/>
                <w:sz w:val="18"/>
                <w:szCs w:val="18"/>
              </w:rPr>
              <w:t>基层培训工作达标率</w:t>
            </w:r>
          </w:p>
        </w:tc>
        <w:tc>
          <w:tcPr>
            <w:tcW w:w="334" w:type="pct"/>
            <w:tcBorders>
              <w:top w:val="nil"/>
              <w:left w:val="nil"/>
              <w:bottom w:val="single" w:color="auto" w:sz="4" w:space="0"/>
              <w:right w:val="single" w:color="auto" w:sz="4" w:space="0"/>
            </w:tcBorders>
            <w:vAlign w:val="center"/>
          </w:tcPr>
          <w:p w14:paraId="06305C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085B21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3" w:type="pct"/>
            <w:tcBorders>
              <w:top w:val="nil"/>
              <w:left w:val="nil"/>
              <w:bottom w:val="single" w:color="auto" w:sz="4" w:space="0"/>
              <w:right w:val="single" w:color="auto" w:sz="4" w:space="0"/>
            </w:tcBorders>
            <w:vAlign w:val="center"/>
          </w:tcPr>
          <w:p w14:paraId="2B221A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28" w:type="pct"/>
            <w:tcBorders>
              <w:top w:val="nil"/>
              <w:left w:val="nil"/>
              <w:bottom w:val="single" w:color="auto" w:sz="4" w:space="0"/>
              <w:right w:val="single" w:color="auto" w:sz="4" w:space="0"/>
            </w:tcBorders>
            <w:vAlign w:val="center"/>
          </w:tcPr>
          <w:p w14:paraId="565F6D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260802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1C5E2C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3D795A3">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09489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D6AB9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424B111A">
            <w:pPr>
              <w:jc w:val="center"/>
              <w:rPr>
                <w:rFonts w:hint="eastAsia" w:ascii="宋体" w:hAnsi="宋体" w:eastAsia="宋体" w:cs="宋体"/>
                <w:color w:val="000000"/>
                <w:sz w:val="18"/>
                <w:szCs w:val="18"/>
              </w:rPr>
            </w:pPr>
          </w:p>
        </w:tc>
      </w:tr>
      <w:tr w14:paraId="69075B4C">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4521AB4">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2CD7223D">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44956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1" w:type="pct"/>
            <w:tcBorders>
              <w:top w:val="single" w:color="auto" w:sz="4" w:space="0"/>
              <w:left w:val="nil"/>
              <w:bottom w:val="single" w:color="auto" w:sz="4" w:space="0"/>
              <w:right w:val="single" w:color="auto" w:sz="4" w:space="0"/>
            </w:tcBorders>
            <w:vAlign w:val="center"/>
          </w:tcPr>
          <w:p w14:paraId="1C884C4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举办歌舞下基层活动及时率</w:t>
            </w:r>
          </w:p>
        </w:tc>
        <w:tc>
          <w:tcPr>
            <w:tcW w:w="334" w:type="pct"/>
            <w:tcBorders>
              <w:top w:val="nil"/>
              <w:left w:val="nil"/>
              <w:bottom w:val="single" w:color="auto" w:sz="4" w:space="0"/>
              <w:right w:val="single" w:color="auto" w:sz="4" w:space="0"/>
            </w:tcBorders>
            <w:vAlign w:val="center"/>
          </w:tcPr>
          <w:p w14:paraId="33E25F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0E65AF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3" w:type="pct"/>
            <w:tcBorders>
              <w:top w:val="nil"/>
              <w:left w:val="nil"/>
              <w:bottom w:val="single" w:color="auto" w:sz="4" w:space="0"/>
              <w:right w:val="single" w:color="auto" w:sz="4" w:space="0"/>
            </w:tcBorders>
            <w:vAlign w:val="center"/>
          </w:tcPr>
          <w:p w14:paraId="6E0C53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28" w:type="pct"/>
            <w:tcBorders>
              <w:top w:val="nil"/>
              <w:left w:val="nil"/>
              <w:bottom w:val="single" w:color="auto" w:sz="4" w:space="0"/>
              <w:right w:val="single" w:color="auto" w:sz="4" w:space="0"/>
            </w:tcBorders>
            <w:vAlign w:val="center"/>
          </w:tcPr>
          <w:p w14:paraId="69E532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18DD9D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08E8A2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FB5FC3F">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39AF3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A7F1D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999B6D2">
            <w:pPr>
              <w:jc w:val="center"/>
              <w:rPr>
                <w:rFonts w:hint="eastAsia" w:ascii="宋体" w:hAnsi="宋体" w:eastAsia="宋体" w:cs="宋体"/>
                <w:color w:val="000000"/>
                <w:sz w:val="18"/>
                <w:szCs w:val="18"/>
              </w:rPr>
            </w:pPr>
          </w:p>
        </w:tc>
      </w:tr>
      <w:tr w14:paraId="4294290C">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A46579D">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579BF6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15401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1" w:type="pct"/>
            <w:tcBorders>
              <w:top w:val="single" w:color="auto" w:sz="4" w:space="0"/>
              <w:left w:val="nil"/>
              <w:bottom w:val="single" w:color="auto" w:sz="4" w:space="0"/>
              <w:right w:val="single" w:color="auto" w:sz="4" w:space="0"/>
            </w:tcBorders>
            <w:vAlign w:val="center"/>
          </w:tcPr>
          <w:p w14:paraId="577A400F">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334" w:type="pct"/>
            <w:tcBorders>
              <w:top w:val="nil"/>
              <w:left w:val="nil"/>
              <w:bottom w:val="single" w:color="auto" w:sz="4" w:space="0"/>
              <w:right w:val="single" w:color="auto" w:sz="4" w:space="0"/>
            </w:tcBorders>
            <w:vAlign w:val="center"/>
          </w:tcPr>
          <w:p w14:paraId="07F857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5D4420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333" w:type="pct"/>
            <w:tcBorders>
              <w:top w:val="nil"/>
              <w:left w:val="nil"/>
              <w:bottom w:val="single" w:color="auto" w:sz="4" w:space="0"/>
              <w:right w:val="single" w:color="auto" w:sz="4" w:space="0"/>
            </w:tcBorders>
            <w:vAlign w:val="center"/>
          </w:tcPr>
          <w:p w14:paraId="19A0C6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47EB95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33CEA0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18F4F3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08349CEC">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574CD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CF2B6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524" w:type="pct"/>
            <w:tcBorders>
              <w:top w:val="nil"/>
              <w:left w:val="nil"/>
              <w:bottom w:val="single" w:color="auto" w:sz="4" w:space="0"/>
              <w:right w:val="single" w:color="auto" w:sz="4" w:space="0"/>
            </w:tcBorders>
            <w:vAlign w:val="center"/>
          </w:tcPr>
          <w:p w14:paraId="16547EE1">
            <w:pPr>
              <w:jc w:val="center"/>
              <w:rPr>
                <w:rFonts w:hint="eastAsia" w:ascii="宋体" w:hAnsi="宋体" w:eastAsia="宋体" w:cs="宋体"/>
                <w:color w:val="000000"/>
                <w:sz w:val="18"/>
                <w:szCs w:val="18"/>
              </w:rPr>
            </w:pPr>
          </w:p>
        </w:tc>
      </w:tr>
      <w:tr w14:paraId="40E96C96">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48F78AC0">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5B92B5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265C03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1" w:type="pct"/>
            <w:tcBorders>
              <w:top w:val="single" w:color="auto" w:sz="4" w:space="0"/>
              <w:left w:val="nil"/>
              <w:bottom w:val="single" w:color="auto" w:sz="4" w:space="0"/>
              <w:right w:val="single" w:color="auto" w:sz="4" w:space="0"/>
            </w:tcBorders>
            <w:vAlign w:val="center"/>
          </w:tcPr>
          <w:p w14:paraId="3301EA6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歌舞下基层活动参与率</w:t>
            </w:r>
          </w:p>
        </w:tc>
        <w:tc>
          <w:tcPr>
            <w:tcW w:w="334" w:type="pct"/>
            <w:tcBorders>
              <w:top w:val="nil"/>
              <w:left w:val="nil"/>
              <w:bottom w:val="single" w:color="auto" w:sz="4" w:space="0"/>
              <w:right w:val="single" w:color="auto" w:sz="4" w:space="0"/>
            </w:tcBorders>
            <w:vAlign w:val="center"/>
          </w:tcPr>
          <w:p w14:paraId="6B896C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314" w:type="pct"/>
            <w:tcBorders>
              <w:top w:val="nil"/>
              <w:left w:val="nil"/>
              <w:bottom w:val="single" w:color="auto" w:sz="4" w:space="0"/>
              <w:right w:val="single" w:color="auto" w:sz="4" w:space="0"/>
            </w:tcBorders>
            <w:vAlign w:val="center"/>
          </w:tcPr>
          <w:p w14:paraId="1205B5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33" w:type="pct"/>
            <w:tcBorders>
              <w:top w:val="nil"/>
              <w:left w:val="nil"/>
              <w:bottom w:val="single" w:color="auto" w:sz="4" w:space="0"/>
              <w:right w:val="single" w:color="auto" w:sz="4" w:space="0"/>
            </w:tcBorders>
            <w:vAlign w:val="center"/>
          </w:tcPr>
          <w:p w14:paraId="001B8F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28" w:type="pct"/>
            <w:tcBorders>
              <w:top w:val="nil"/>
              <w:left w:val="nil"/>
              <w:bottom w:val="single" w:color="auto" w:sz="4" w:space="0"/>
              <w:right w:val="single" w:color="auto" w:sz="4" w:space="0"/>
            </w:tcBorders>
            <w:vAlign w:val="center"/>
          </w:tcPr>
          <w:p w14:paraId="3C5548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2EB9F4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342" w:type="pct"/>
            <w:tcBorders>
              <w:top w:val="nil"/>
              <w:left w:val="nil"/>
              <w:bottom w:val="single" w:color="auto" w:sz="4" w:space="0"/>
              <w:right w:val="single" w:color="auto" w:sz="4" w:space="0"/>
            </w:tcBorders>
            <w:vAlign w:val="center"/>
          </w:tcPr>
          <w:p w14:paraId="2EEDD8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5889CE2">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4F78D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808BE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524" w:type="pct"/>
            <w:tcBorders>
              <w:top w:val="nil"/>
              <w:left w:val="nil"/>
              <w:bottom w:val="single" w:color="auto" w:sz="4" w:space="0"/>
              <w:right w:val="single" w:color="auto" w:sz="4" w:space="0"/>
            </w:tcBorders>
            <w:vAlign w:val="center"/>
          </w:tcPr>
          <w:p w14:paraId="0270EAB9">
            <w:pPr>
              <w:jc w:val="center"/>
              <w:rPr>
                <w:rFonts w:hint="eastAsia" w:ascii="宋体" w:hAnsi="宋体" w:eastAsia="宋体" w:cs="宋体"/>
                <w:color w:val="000000"/>
                <w:sz w:val="18"/>
                <w:szCs w:val="18"/>
              </w:rPr>
            </w:pPr>
          </w:p>
        </w:tc>
      </w:tr>
      <w:tr w14:paraId="0E3591FC">
        <w:tblPrEx>
          <w:tblCellMar>
            <w:top w:w="0" w:type="dxa"/>
            <w:left w:w="108" w:type="dxa"/>
            <w:bottom w:w="0" w:type="dxa"/>
            <w:right w:w="108" w:type="dxa"/>
          </w:tblCellMar>
        </w:tblPrEx>
        <w:trPr>
          <w:trHeight w:val="520" w:hRule="atLeast"/>
        </w:trPr>
        <w:tc>
          <w:tcPr>
            <w:tcW w:w="1460" w:type="pct"/>
            <w:gridSpan w:val="4"/>
            <w:tcBorders>
              <w:top w:val="single" w:color="auto" w:sz="4" w:space="0"/>
              <w:left w:val="single" w:color="auto" w:sz="4" w:space="0"/>
              <w:bottom w:val="single" w:color="auto" w:sz="4" w:space="0"/>
              <w:right w:val="single" w:color="auto" w:sz="4" w:space="0"/>
            </w:tcBorders>
            <w:vAlign w:val="center"/>
          </w:tcPr>
          <w:p w14:paraId="55F784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13B129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0E8BCFA4">
            <w:pPr>
              <w:jc w:val="center"/>
              <w:rPr>
                <w:rFonts w:hint="eastAsia" w:ascii="宋体" w:hAnsi="宋体" w:eastAsia="宋体" w:cs="宋体"/>
                <w:color w:val="000000"/>
                <w:sz w:val="18"/>
                <w:szCs w:val="18"/>
              </w:rPr>
            </w:pPr>
          </w:p>
        </w:tc>
        <w:tc>
          <w:tcPr>
            <w:tcW w:w="333" w:type="pct"/>
            <w:tcBorders>
              <w:top w:val="single" w:color="auto" w:sz="4" w:space="0"/>
              <w:left w:val="single" w:color="auto" w:sz="4" w:space="0"/>
              <w:bottom w:val="single" w:color="auto" w:sz="4" w:space="0"/>
              <w:right w:val="single" w:color="auto" w:sz="4" w:space="0"/>
            </w:tcBorders>
            <w:vAlign w:val="center"/>
          </w:tcPr>
          <w:p w14:paraId="24A982AC">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1606CDE3">
            <w:pPr>
              <w:jc w:val="center"/>
              <w:rPr>
                <w:rFonts w:hint="eastAsia" w:ascii="宋体" w:hAnsi="宋体" w:eastAsia="宋体" w:cs="宋体"/>
                <w:color w:val="000000"/>
                <w:sz w:val="18"/>
                <w:szCs w:val="18"/>
              </w:rPr>
            </w:pPr>
          </w:p>
        </w:tc>
        <w:tc>
          <w:tcPr>
            <w:tcW w:w="379" w:type="pct"/>
            <w:tcBorders>
              <w:top w:val="single" w:color="auto" w:sz="4" w:space="0"/>
              <w:left w:val="nil"/>
              <w:bottom w:val="single" w:color="auto" w:sz="4" w:space="0"/>
              <w:right w:val="single" w:color="auto" w:sz="4" w:space="0"/>
            </w:tcBorders>
            <w:vAlign w:val="center"/>
          </w:tcPr>
          <w:p w14:paraId="1E1549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31A99531">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51CD5590">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4D584A35">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4F23A560">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258C30B7">
            <w:pPr>
              <w:rPr>
                <w:rFonts w:hint="eastAsia" w:ascii="宋体" w:hAnsi="宋体" w:eastAsia="宋体" w:cs="宋体"/>
                <w:color w:val="000000"/>
                <w:sz w:val="18"/>
                <w:szCs w:val="18"/>
              </w:rPr>
            </w:pPr>
          </w:p>
        </w:tc>
      </w:tr>
      <w:bookmarkEnd w:id="14"/>
    </w:tbl>
    <w:p w14:paraId="6052E4BF">
      <w:pPr>
        <w:spacing w:after="0" w:line="240" w:lineRule="auto"/>
        <w:ind w:firstLine="640" w:firstLineChars="200"/>
        <w:jc w:val="both"/>
        <w:rPr>
          <w:rFonts w:hint="eastAsia" w:ascii="仿宋_GB2312" w:eastAsia="仿宋_GB2312"/>
          <w:sz w:val="32"/>
          <w:szCs w:val="32"/>
          <w:lang w:eastAsia="zh-CN"/>
        </w:rPr>
      </w:pPr>
    </w:p>
    <w:p w14:paraId="3F21E40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1235C77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3431ACAB">
      <w:pPr>
        <w:spacing w:after="0" w:line="240" w:lineRule="auto"/>
        <w:ind w:firstLine="640" w:firstLineChars="200"/>
        <w:rPr>
          <w:rFonts w:hint="eastAsia" w:ascii="仿宋_GB2312" w:eastAsia="仿宋_GB2312"/>
          <w:sz w:val="32"/>
          <w:szCs w:val="32"/>
          <w:lang w:eastAsia="zh-CN"/>
        </w:rPr>
      </w:pPr>
    </w:p>
    <w:p w14:paraId="70B9FBCD">
      <w:pPr>
        <w:rPr>
          <w:rFonts w:hint="eastAsia"/>
          <w:lang w:eastAsia="zh-CN"/>
        </w:rPr>
      </w:pPr>
      <w:r>
        <w:rPr>
          <w:sz w:val="0"/>
          <w:szCs w:val="0"/>
          <w:lang w:eastAsia="zh-CN"/>
        </w:rPr>
        <w:br w:type="page"/>
      </w:r>
    </w:p>
    <w:p w14:paraId="29FDE5F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0C6B8C7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4F9A93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8DDB55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C81B47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6F4795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BDEF4A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35CE83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E4634C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6631D7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36F3FE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DF2F4D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CA8460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E937E0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B573D5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CDA232D">
      <w:pPr>
        <w:rPr>
          <w:rFonts w:hint="eastAsia"/>
          <w:lang w:eastAsia="zh-CN"/>
        </w:rPr>
      </w:pPr>
      <w:r>
        <w:rPr>
          <w:sz w:val="0"/>
          <w:szCs w:val="0"/>
          <w:lang w:eastAsia="zh-CN"/>
        </w:rPr>
        <w:br w:type="page"/>
      </w:r>
    </w:p>
    <w:p w14:paraId="3784621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6CB3158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D4D660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0D4F3AB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338C25B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290CAC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27BF3B1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E498C5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699899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B3F871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FD4F7F"/>
    <w:rsid w:val="000A3EF0"/>
    <w:rsid w:val="002E5AF2"/>
    <w:rsid w:val="004A45A7"/>
    <w:rsid w:val="004D2B41"/>
    <w:rsid w:val="0080584D"/>
    <w:rsid w:val="008325B8"/>
    <w:rsid w:val="00D930CC"/>
    <w:rsid w:val="00DD14AB"/>
    <w:rsid w:val="00FD4F7F"/>
    <w:rsid w:val="7E553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6561</Words>
  <Characters>7305</Characters>
  <Lines>1410</Lines>
  <Paragraphs>1107</Paragraphs>
  <TotalTime>2</TotalTime>
  <ScaleCrop>false</ScaleCrop>
  <LinksUpToDate>false</LinksUpToDate>
  <CharactersWithSpaces>7317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2025-09-23T09:22:00Z</dcterms:created>
  <dc:creator>华为</dc:creator>
  <cp:lastModifiedBy>辣庅小</cp:lastModifiedBy>
  <dcterms:modified xsi:type="dcterms:W3CDTF">2025-09-25T09:32:42Z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B85D484179264C878B86A669D399B808_12</vt:lpwstr>
  </property>
</Properties>
</file>